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DA2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36"/>
          <w:szCs w:val="36"/>
          <w:vertAlign w:val="baseline"/>
        </w:rPr>
      </w:pPr>
      <w:r>
        <w:rPr>
          <w:rFonts w:hint="eastAsia" w:ascii="方正小标宋简体" w:hAnsi="方正小标宋简体" w:eastAsia="方正小标宋简体" w:cs="方正小标宋简体"/>
          <w:sz w:val="36"/>
          <w:szCs w:val="36"/>
          <w:lang w:eastAsia="zh-CN"/>
        </w:rPr>
        <w:t>综合评估选择法律顾问打分表</w:t>
      </w:r>
    </w:p>
    <w:tbl>
      <w:tblPr>
        <w:tblStyle w:val="3"/>
        <w:tblW w:w="10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8"/>
        <w:gridCol w:w="3362"/>
      </w:tblGrid>
      <w:tr w14:paraId="798A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0" w:type="dxa"/>
            <w:gridSpan w:val="2"/>
            <w:vAlign w:val="center"/>
          </w:tcPr>
          <w:p w14:paraId="64490F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sz w:val="28"/>
                <w:szCs w:val="28"/>
                <w:vertAlign w:val="baseline"/>
              </w:rPr>
            </w:pPr>
            <w:r>
              <w:rPr>
                <w:rFonts w:hint="eastAsia" w:ascii="方正小标宋简体" w:hAnsi="方正小标宋简体" w:eastAsia="方正小标宋简体" w:cs="方正小标宋简体"/>
                <w:b w:val="0"/>
                <w:bCs w:val="0"/>
                <w:sz w:val="32"/>
                <w:szCs w:val="32"/>
                <w:lang w:eastAsia="zh-CN"/>
              </w:rPr>
              <w:t>一、资格要求（</w:t>
            </w:r>
            <w:r>
              <w:rPr>
                <w:rFonts w:hint="eastAsia" w:ascii="方正小标宋简体" w:hAnsi="方正小标宋简体" w:eastAsia="方正小标宋简体" w:cs="方正小标宋简体"/>
                <w:b w:val="0"/>
                <w:bCs w:val="0"/>
                <w:sz w:val="32"/>
                <w:szCs w:val="32"/>
                <w:lang w:val="en-US" w:eastAsia="zh-CN"/>
              </w:rPr>
              <w:t>总所与分所资质与业绩不能混用）</w:t>
            </w:r>
          </w:p>
        </w:tc>
      </w:tr>
      <w:tr w14:paraId="4EA3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7D49BC22">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1.供应商是经国家司法行政主管部门合法登记注册满5年的律师事务所。</w:t>
            </w:r>
          </w:p>
        </w:tc>
        <w:tc>
          <w:tcPr>
            <w:tcW w:w="3362" w:type="dxa"/>
            <w:vAlign w:val="center"/>
          </w:tcPr>
          <w:p w14:paraId="40820AF6">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6AAB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7BF2C93E">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2.供应商在项目服务地市级行政区域内设有固定办公场所。</w:t>
            </w:r>
          </w:p>
        </w:tc>
        <w:tc>
          <w:tcPr>
            <w:tcW w:w="3362" w:type="dxa"/>
            <w:vAlign w:val="center"/>
          </w:tcPr>
          <w:p w14:paraId="6B0085B3">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1ECA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56A7ABC5">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3.供应商执业律师在20名以上，其中执业满5年的律师不得少于5名。</w:t>
            </w:r>
          </w:p>
        </w:tc>
        <w:tc>
          <w:tcPr>
            <w:tcW w:w="3362" w:type="dxa"/>
            <w:vAlign w:val="center"/>
          </w:tcPr>
          <w:p w14:paraId="61F5C8C9">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5DF2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041B5ECF">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4.供应商具有良好的商业信誉和健全的财务会计制度。</w:t>
            </w:r>
          </w:p>
        </w:tc>
        <w:tc>
          <w:tcPr>
            <w:tcW w:w="3362" w:type="dxa"/>
            <w:vAlign w:val="center"/>
          </w:tcPr>
          <w:p w14:paraId="69C176EF">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756C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7348" w:type="dxa"/>
            <w:vAlign w:val="center"/>
          </w:tcPr>
          <w:p w14:paraId="59905B36">
            <w:pPr>
              <w:pStyle w:val="5"/>
              <w:keepNext w:val="0"/>
              <w:keepLines w:val="0"/>
              <w:pageBreakBefore w:val="0"/>
              <w:widowControl w:val="0"/>
              <w:numPr>
                <w:ilvl w:val="0"/>
                <w:numId w:val="0"/>
              </w:numPr>
              <w:kinsoku/>
              <w:wordWrap/>
              <w:overflowPunct/>
              <w:topLinePunct w:val="0"/>
              <w:bidi w:val="0"/>
              <w:adjustRightInd/>
              <w:snapToGrid/>
              <w:spacing w:line="360" w:lineRule="exact"/>
              <w:ind w:left="0" w:leftChars="0"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5.供应商不得存在以下情形：</w:t>
            </w:r>
          </w:p>
          <w:p w14:paraId="1C0BD2FE">
            <w:pPr>
              <w:pStyle w:val="5"/>
              <w:keepNext w:val="0"/>
              <w:keepLines w:val="0"/>
              <w:pageBreakBefore w:val="0"/>
              <w:widowControl w:val="0"/>
              <w:numPr>
                <w:ilvl w:val="0"/>
                <w:numId w:val="0"/>
              </w:numPr>
              <w:kinsoku/>
              <w:wordWrap/>
              <w:overflowPunct/>
              <w:topLinePunct w:val="0"/>
              <w:bidi w:val="0"/>
              <w:adjustRightInd/>
              <w:snapToGrid/>
              <w:spacing w:line="360" w:lineRule="exact"/>
              <w:ind w:left="0" w:leftChars="0"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①尚欠缴应纳税款或者社会保险费的；</w:t>
            </w:r>
          </w:p>
          <w:p w14:paraId="5E321BA6">
            <w:pPr>
              <w:pStyle w:val="5"/>
              <w:keepNext w:val="0"/>
              <w:keepLines w:val="0"/>
              <w:pageBreakBefore w:val="0"/>
              <w:widowControl w:val="0"/>
              <w:numPr>
                <w:ilvl w:val="0"/>
                <w:numId w:val="0"/>
              </w:numPr>
              <w:kinsoku/>
              <w:wordWrap/>
              <w:overflowPunct/>
              <w:topLinePunct w:val="0"/>
              <w:bidi w:val="0"/>
              <w:adjustRightInd/>
              <w:snapToGrid/>
              <w:spacing w:line="360" w:lineRule="exact"/>
              <w:ind w:left="0" w:leftChars="0"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②因违法行为，被依法限制或者禁止参加采购活动的；</w:t>
            </w:r>
          </w:p>
          <w:p w14:paraId="14E3466E">
            <w:pPr>
              <w:pStyle w:val="5"/>
              <w:keepNext w:val="0"/>
              <w:keepLines w:val="0"/>
              <w:pageBreakBefore w:val="0"/>
              <w:widowControl w:val="0"/>
              <w:numPr>
                <w:ilvl w:val="0"/>
                <w:numId w:val="0"/>
              </w:numPr>
              <w:kinsoku/>
              <w:wordWrap/>
              <w:overflowPunct/>
              <w:topLinePunct w:val="0"/>
              <w:bidi w:val="0"/>
              <w:adjustRightInd/>
              <w:snapToGrid/>
              <w:spacing w:line="360" w:lineRule="exact"/>
              <w:ind w:left="0" w:leftChars="0"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③参加采购活动前三年内，在经营活动中存在重大违法记录的。</w:t>
            </w:r>
          </w:p>
        </w:tc>
        <w:tc>
          <w:tcPr>
            <w:tcW w:w="3362" w:type="dxa"/>
            <w:vAlign w:val="center"/>
          </w:tcPr>
          <w:p w14:paraId="5662EC77">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51F7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0" w:type="dxa"/>
            <w:gridSpan w:val="2"/>
            <w:vAlign w:val="center"/>
          </w:tcPr>
          <w:p w14:paraId="16FE660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sz w:val="28"/>
                <w:szCs w:val="28"/>
                <w:vertAlign w:val="baseline"/>
              </w:rPr>
            </w:pPr>
            <w:r>
              <w:rPr>
                <w:rFonts w:hint="eastAsia" w:ascii="方正小标宋简体" w:hAnsi="方正小标宋简体" w:eastAsia="方正小标宋简体" w:cs="方正小标宋简体"/>
                <w:b w:val="0"/>
                <w:bCs w:val="0"/>
                <w:sz w:val="32"/>
                <w:szCs w:val="32"/>
                <w:lang w:eastAsia="zh-CN"/>
              </w:rPr>
              <w:t>二、资料要求</w:t>
            </w:r>
          </w:p>
        </w:tc>
      </w:tr>
      <w:tr w14:paraId="190F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13AC67CA">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sz w:val="28"/>
                <w:szCs w:val="28"/>
                <w:lang w:val="en-US" w:eastAsia="zh-CN"/>
              </w:rPr>
              <w:t>1.</w:t>
            </w:r>
            <w:r>
              <w:rPr>
                <w:rFonts w:hint="eastAsia" w:ascii="仿宋" w:hAnsi="仿宋" w:eastAsia="仿宋" w:cs="仿宋"/>
                <w:sz w:val="28"/>
                <w:szCs w:val="28"/>
                <w:highlight w:val="none"/>
                <w:u w:val="none"/>
              </w:rPr>
              <w:t>提供合法有效的律师事务所执业许可证的复印件及负责人身份证复印件</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并加盖律师事务所公章</w:t>
            </w:r>
            <w:r>
              <w:rPr>
                <w:rFonts w:hint="eastAsia" w:ascii="仿宋" w:hAnsi="仿宋" w:eastAsia="仿宋" w:cs="仿宋"/>
                <w:sz w:val="28"/>
                <w:szCs w:val="28"/>
                <w:highlight w:val="none"/>
                <w:u w:val="none"/>
                <w:lang w:eastAsia="zh-CN"/>
              </w:rPr>
              <w:t>。</w:t>
            </w:r>
          </w:p>
        </w:tc>
        <w:tc>
          <w:tcPr>
            <w:tcW w:w="3362" w:type="dxa"/>
            <w:vAlign w:val="center"/>
          </w:tcPr>
          <w:p w14:paraId="4296699B">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79CC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44A098CB">
            <w:pPr>
              <w:keepNext w:val="0"/>
              <w:keepLines w:val="0"/>
              <w:pageBreakBefore w:val="0"/>
              <w:widowControl w:val="0"/>
              <w:numPr>
                <w:ilvl w:val="0"/>
                <w:numId w:val="0"/>
              </w:numPr>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2.</w:t>
            </w:r>
            <w:r>
              <w:rPr>
                <w:rFonts w:hint="eastAsia" w:ascii="仿宋" w:hAnsi="仿宋" w:eastAsia="仿宋" w:cs="仿宋"/>
                <w:b w:val="0"/>
                <w:bCs w:val="0"/>
                <w:sz w:val="28"/>
                <w:szCs w:val="28"/>
                <w:lang w:val="en-US" w:eastAsia="zh-CN"/>
              </w:rPr>
              <w:t>负责人不能参加现场磋商的，提供负责人授权委托书及受托人身份证复印件。</w:t>
            </w:r>
          </w:p>
        </w:tc>
        <w:tc>
          <w:tcPr>
            <w:tcW w:w="3362" w:type="dxa"/>
            <w:vAlign w:val="center"/>
          </w:tcPr>
          <w:p w14:paraId="060BE254">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0927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269004CB">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SA"/>
              </w:rPr>
              <w:t>3.提供不少于20名执业律师统计表（需注明执业律师姓名、政治面貌、执业证号、执业年限、联系电话）并附对应的律师执业证复印件。</w:t>
            </w:r>
          </w:p>
        </w:tc>
        <w:tc>
          <w:tcPr>
            <w:tcW w:w="3362" w:type="dxa"/>
            <w:vAlign w:val="center"/>
          </w:tcPr>
          <w:p w14:paraId="7CEB51B9">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35C0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3F7B57F7">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SA"/>
              </w:rPr>
              <w:t>4.需提供在服务地设有固定办公场所证明资料，如租赁合同、商品房买卖合同、房产证等复印件。</w:t>
            </w:r>
          </w:p>
        </w:tc>
        <w:tc>
          <w:tcPr>
            <w:tcW w:w="3362" w:type="dxa"/>
            <w:vAlign w:val="center"/>
          </w:tcPr>
          <w:p w14:paraId="6C723354">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52E1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355004A0">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SA"/>
              </w:rPr>
              <w:t>5.供应商成功案例目录并附相应法律服务合同、法律文书、裁判文书等。</w:t>
            </w:r>
          </w:p>
        </w:tc>
        <w:tc>
          <w:tcPr>
            <w:tcW w:w="3362" w:type="dxa"/>
            <w:vAlign w:val="center"/>
          </w:tcPr>
          <w:p w14:paraId="5BD8524E">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53B7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6BC709F0">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SA"/>
              </w:rPr>
              <w:t>6.供应商依法缴纳税收的近三年完税凭证证明材料。</w:t>
            </w:r>
          </w:p>
        </w:tc>
        <w:tc>
          <w:tcPr>
            <w:tcW w:w="3362" w:type="dxa"/>
            <w:vAlign w:val="center"/>
          </w:tcPr>
          <w:p w14:paraId="131DDF94">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59D1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2BD63896">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7.供应商自行承诺：①承诺未被列入“信用中国”网站失信被执行人、重大税收违法失信主体、政府采购严重违法失信行为记录名单，未被列入“中国政府采购网”政府采购严重违法失信行为记录名单；②参加本次磋商前3年，在经营活动中没有重大违法、不良、失信记录的书面承诺；③服务及保密承诺。</w:t>
            </w:r>
          </w:p>
        </w:tc>
        <w:tc>
          <w:tcPr>
            <w:tcW w:w="3362" w:type="dxa"/>
            <w:vAlign w:val="center"/>
          </w:tcPr>
          <w:p w14:paraId="352ED5E7">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3468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5F9D7B65">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8.供应商自制法律服务方案，包括常年法律顾问服务及专项法律服务。</w:t>
            </w:r>
          </w:p>
        </w:tc>
        <w:tc>
          <w:tcPr>
            <w:tcW w:w="3362" w:type="dxa"/>
            <w:vAlign w:val="center"/>
          </w:tcPr>
          <w:p w14:paraId="372A3073">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r w14:paraId="0348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8" w:type="dxa"/>
            <w:vAlign w:val="center"/>
          </w:tcPr>
          <w:p w14:paraId="4B22B547">
            <w:pPr>
              <w:keepNext w:val="0"/>
              <w:keepLines w:val="0"/>
              <w:pageBreakBefore w:val="0"/>
              <w:widowControl w:val="0"/>
              <w:kinsoku/>
              <w:wordWrap/>
              <w:overflowPunct/>
              <w:topLinePunct w:val="0"/>
              <w:bidi w:val="0"/>
              <w:adjustRightInd/>
              <w:snapToGrid/>
              <w:spacing w:line="36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9.供应商认为有必要的其他文件资料。</w:t>
            </w:r>
          </w:p>
        </w:tc>
        <w:tc>
          <w:tcPr>
            <w:tcW w:w="3362" w:type="dxa"/>
            <w:vAlign w:val="center"/>
          </w:tcPr>
          <w:p w14:paraId="4408FC52">
            <w:pPr>
              <w:keepNext w:val="0"/>
              <w:keepLines w:val="0"/>
              <w:pageBreakBefore w:val="0"/>
              <w:widowControl w:val="0"/>
              <w:kinsoku/>
              <w:wordWrap/>
              <w:overflowPunct/>
              <w:topLinePunct w:val="0"/>
              <w:bidi w:val="0"/>
              <w:adjustRightInd/>
              <w:snapToGrid/>
              <w:spacing w:line="360" w:lineRule="exact"/>
              <w:jc w:val="left"/>
              <w:textAlignment w:val="auto"/>
              <w:rPr>
                <w:sz w:val="28"/>
                <w:szCs w:val="28"/>
                <w:vertAlign w:val="baseline"/>
              </w:rPr>
            </w:pPr>
          </w:p>
        </w:tc>
      </w:tr>
    </w:tbl>
    <w:p w14:paraId="3BDB920D">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392"/>
        <w:gridCol w:w="4920"/>
        <w:gridCol w:w="1272"/>
      </w:tblGrid>
      <w:tr w14:paraId="5C58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14:paraId="05C6B12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vertAlign w:val="baseline"/>
              </w:rPr>
            </w:pPr>
            <w:r>
              <w:rPr>
                <w:rFonts w:hint="eastAsia" w:ascii="方正小标宋简体" w:hAnsi="方正小标宋简体" w:eastAsia="方正小标宋简体" w:cs="方正小标宋简体"/>
                <w:b w:val="0"/>
                <w:bCs w:val="0"/>
                <w:sz w:val="32"/>
                <w:szCs w:val="32"/>
                <w:lang w:val="en-US" w:eastAsia="zh-CN"/>
              </w:rPr>
              <w:t>三、</w:t>
            </w:r>
            <w:r>
              <w:rPr>
                <w:rFonts w:hint="eastAsia" w:ascii="方正小标宋简体" w:hAnsi="方正小标宋简体" w:eastAsia="方正小标宋简体" w:cs="方正小标宋简体"/>
                <w:b w:val="0"/>
                <w:bCs w:val="0"/>
                <w:sz w:val="32"/>
                <w:szCs w:val="32"/>
                <w:lang w:eastAsia="zh-CN"/>
              </w:rPr>
              <w:t>综合评分标准</w:t>
            </w:r>
          </w:p>
        </w:tc>
      </w:tr>
      <w:tr w14:paraId="0B22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restart"/>
            <w:vAlign w:val="center"/>
          </w:tcPr>
          <w:p w14:paraId="540F8F6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sz w:val="24"/>
                <w:szCs w:val="24"/>
                <w:u w:val="none"/>
                <w:lang w:val="en-US" w:eastAsia="zh-CN"/>
              </w:rPr>
            </w:pPr>
            <w:r>
              <w:rPr>
                <w:rFonts w:hint="eastAsia" w:ascii="黑体" w:hAnsi="黑体" w:eastAsia="黑体" w:cs="黑体"/>
                <w:b/>
                <w:bCs/>
                <w:kern w:val="2"/>
                <w:sz w:val="24"/>
                <w:szCs w:val="24"/>
                <w:lang w:val="en-US" w:eastAsia="zh-CN" w:bidi="ar-SA"/>
              </w:rPr>
              <w:t>1.</w:t>
            </w:r>
            <w:r>
              <w:rPr>
                <w:rFonts w:hint="eastAsia" w:ascii="黑体" w:hAnsi="黑体" w:eastAsia="黑体" w:cs="黑体"/>
                <w:b/>
                <w:bCs/>
                <w:sz w:val="24"/>
                <w:szCs w:val="24"/>
                <w:u w:val="none"/>
                <w:lang w:val="en-US" w:eastAsia="zh-CN"/>
              </w:rPr>
              <w:t>法律服务方案：</w:t>
            </w:r>
          </w:p>
          <w:p w14:paraId="75CC69CB">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vertAlign w:val="baseline"/>
              </w:rPr>
            </w:pPr>
            <w:r>
              <w:rPr>
                <w:rFonts w:hint="eastAsia" w:ascii="黑体" w:hAnsi="黑体" w:eastAsia="黑体" w:cs="黑体"/>
                <w:b/>
                <w:bCs/>
                <w:sz w:val="24"/>
                <w:szCs w:val="24"/>
                <w:u w:val="none"/>
                <w:lang w:val="en-US" w:eastAsia="zh-CN"/>
              </w:rPr>
              <w:t>30分</w:t>
            </w:r>
          </w:p>
        </w:tc>
        <w:tc>
          <w:tcPr>
            <w:tcW w:w="2392" w:type="dxa"/>
            <w:vMerge w:val="restart"/>
            <w:vAlign w:val="center"/>
          </w:tcPr>
          <w:p w14:paraId="372415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vertAlign w:val="baseline"/>
              </w:rPr>
            </w:pPr>
            <w:r>
              <w:rPr>
                <w:rFonts w:hint="eastAsia" w:ascii="仿宋" w:hAnsi="仿宋" w:eastAsia="仿宋" w:cs="仿宋"/>
                <w:b/>
                <w:bCs/>
                <w:sz w:val="24"/>
                <w:szCs w:val="24"/>
                <w:lang w:val="en-US" w:eastAsia="zh-CN"/>
              </w:rPr>
              <w:t>1.1法律服务内容（共20分）</w:t>
            </w:r>
          </w:p>
        </w:tc>
        <w:tc>
          <w:tcPr>
            <w:tcW w:w="4920" w:type="dxa"/>
          </w:tcPr>
          <w:p w14:paraId="621791FE">
            <w:pPr>
              <w:numPr>
                <w:ilvl w:val="0"/>
                <w:numId w:val="0"/>
              </w:numP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kern w:val="2"/>
                <w:sz w:val="24"/>
                <w:szCs w:val="24"/>
                <w:lang w:val="en-US" w:eastAsia="zh-CN" w:bidi="ar-SA"/>
              </w:rPr>
              <w:t>A、</w:t>
            </w:r>
            <w:r>
              <w:rPr>
                <w:rFonts w:hint="eastAsia" w:ascii="楷体_GB2312" w:hAnsi="楷体_GB2312" w:eastAsia="楷体_GB2312" w:cs="楷体_GB2312"/>
                <w:b/>
                <w:bCs/>
                <w:sz w:val="24"/>
                <w:szCs w:val="24"/>
                <w:lang w:val="en-US" w:eastAsia="zh-CN"/>
              </w:rPr>
              <w:t>服务内容（10分）</w:t>
            </w:r>
          </w:p>
          <w:p w14:paraId="6A9FB700">
            <w:pPr>
              <w:numPr>
                <w:ilvl w:val="0"/>
                <w:numId w:val="0"/>
              </w:numPr>
              <w:rPr>
                <w:rFonts w:hint="eastAsia" w:ascii="仿宋" w:hAnsi="仿宋" w:eastAsia="仿宋" w:cs="仿宋"/>
                <w:sz w:val="24"/>
                <w:szCs w:val="24"/>
                <w:lang w:val="en-US" w:eastAsia="zh-CN"/>
              </w:rPr>
            </w:pPr>
            <w:r>
              <w:rPr>
                <w:rFonts w:hint="eastAsia" w:ascii="仿宋_GB2312" w:hAnsi="仿宋_GB2312" w:eastAsia="仿宋_GB2312" w:cs="仿宋_GB2312"/>
                <w:b w:val="0"/>
                <w:bCs w:val="0"/>
                <w:sz w:val="22"/>
                <w:szCs w:val="22"/>
                <w:lang w:val="en-US" w:eastAsia="zh-CN"/>
              </w:rPr>
              <w:t>服务方案包括10项以上得10分；7项以上得7分；5项以上得5分；5项以下不得分。</w:t>
            </w:r>
          </w:p>
        </w:tc>
        <w:tc>
          <w:tcPr>
            <w:tcW w:w="1272" w:type="dxa"/>
          </w:tcPr>
          <w:p w14:paraId="69577FE6">
            <w:pPr>
              <w:rPr>
                <w:vertAlign w:val="baseline"/>
              </w:rPr>
            </w:pPr>
          </w:p>
        </w:tc>
      </w:tr>
      <w:tr w14:paraId="5824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64337D5B">
            <w:pPr>
              <w:rPr>
                <w:vertAlign w:val="baseline"/>
              </w:rPr>
            </w:pPr>
          </w:p>
        </w:tc>
        <w:tc>
          <w:tcPr>
            <w:tcW w:w="2392" w:type="dxa"/>
            <w:vMerge w:val="continue"/>
          </w:tcPr>
          <w:p w14:paraId="5878175C">
            <w:pPr>
              <w:rPr>
                <w:vertAlign w:val="baseline"/>
              </w:rPr>
            </w:pPr>
          </w:p>
        </w:tc>
        <w:tc>
          <w:tcPr>
            <w:tcW w:w="4920" w:type="dxa"/>
          </w:tcPr>
          <w:p w14:paraId="56FF882A">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B、服务内容是否有针对性、专业性(2分)</w:t>
            </w:r>
          </w:p>
          <w:p w14:paraId="05E2DC3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4"/>
                <w:szCs w:val="24"/>
                <w:lang w:val="en-US" w:eastAsia="zh-CN"/>
              </w:rPr>
            </w:pPr>
            <w:r>
              <w:rPr>
                <w:rFonts w:hint="eastAsia" w:ascii="仿宋_GB2312" w:hAnsi="仿宋_GB2312" w:eastAsia="仿宋_GB2312" w:cs="仿宋_GB2312"/>
                <w:b w:val="0"/>
                <w:bCs w:val="0"/>
                <w:sz w:val="22"/>
                <w:szCs w:val="22"/>
                <w:lang w:val="en-US" w:eastAsia="zh-CN"/>
              </w:rPr>
              <w:t>非常全面：2分；一般：1分；无针对性：0分</w:t>
            </w:r>
          </w:p>
        </w:tc>
        <w:tc>
          <w:tcPr>
            <w:tcW w:w="1272" w:type="dxa"/>
          </w:tcPr>
          <w:p w14:paraId="1C04890F">
            <w:pPr>
              <w:rPr>
                <w:vertAlign w:val="baseline"/>
              </w:rPr>
            </w:pPr>
          </w:p>
        </w:tc>
      </w:tr>
      <w:tr w14:paraId="47BD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4D15D1B8">
            <w:pPr>
              <w:rPr>
                <w:vertAlign w:val="baseline"/>
              </w:rPr>
            </w:pPr>
          </w:p>
        </w:tc>
        <w:tc>
          <w:tcPr>
            <w:tcW w:w="2392" w:type="dxa"/>
            <w:vMerge w:val="continue"/>
          </w:tcPr>
          <w:p w14:paraId="11531030">
            <w:pPr>
              <w:rPr>
                <w:vertAlign w:val="baseline"/>
              </w:rPr>
            </w:pPr>
          </w:p>
        </w:tc>
        <w:tc>
          <w:tcPr>
            <w:tcW w:w="4920" w:type="dxa"/>
          </w:tcPr>
          <w:p w14:paraId="4922D1EF">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C、服务方式是否有针对性、专业性(2分)</w:t>
            </w:r>
          </w:p>
          <w:p w14:paraId="77005CD8">
            <w:pPr>
              <w:pStyle w:val="5"/>
              <w:rPr>
                <w:rFonts w:hint="eastAsia" w:ascii="仿宋" w:hAnsi="仿宋" w:eastAsia="仿宋" w:cs="仿宋"/>
                <w:sz w:val="24"/>
                <w:szCs w:val="24"/>
                <w:lang w:val="en-US" w:eastAsia="zh-CN"/>
              </w:rPr>
            </w:pPr>
            <w:r>
              <w:rPr>
                <w:rFonts w:hint="eastAsia" w:ascii="仿宋_GB2312" w:hAnsi="仿宋_GB2312" w:eastAsia="仿宋_GB2312" w:cs="仿宋_GB2312"/>
                <w:b w:val="0"/>
                <w:bCs w:val="0"/>
                <w:color w:val="auto"/>
                <w:kern w:val="2"/>
                <w:sz w:val="22"/>
                <w:szCs w:val="22"/>
                <w:lang w:val="en-US" w:eastAsia="zh-CN" w:bidi="ar-SA"/>
              </w:rPr>
              <w:t>非常全面：2分；一般：1分；无针对性：0分</w:t>
            </w:r>
          </w:p>
        </w:tc>
        <w:tc>
          <w:tcPr>
            <w:tcW w:w="1272" w:type="dxa"/>
          </w:tcPr>
          <w:p w14:paraId="230C8923">
            <w:pPr>
              <w:rPr>
                <w:vertAlign w:val="baseline"/>
              </w:rPr>
            </w:pPr>
          </w:p>
        </w:tc>
      </w:tr>
      <w:tr w14:paraId="02EB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0160D6DE">
            <w:pPr>
              <w:rPr>
                <w:vertAlign w:val="baseline"/>
              </w:rPr>
            </w:pPr>
          </w:p>
        </w:tc>
        <w:tc>
          <w:tcPr>
            <w:tcW w:w="2392" w:type="dxa"/>
            <w:vMerge w:val="continue"/>
          </w:tcPr>
          <w:p w14:paraId="41C7EB4D">
            <w:pPr>
              <w:rPr>
                <w:vertAlign w:val="baseline"/>
              </w:rPr>
            </w:pPr>
          </w:p>
        </w:tc>
        <w:tc>
          <w:tcPr>
            <w:tcW w:w="4920" w:type="dxa"/>
          </w:tcPr>
          <w:p w14:paraId="594BDAFC">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D、服务内容或服务方式便利性(2分)</w:t>
            </w:r>
          </w:p>
          <w:p w14:paraId="6366E152">
            <w:pPr>
              <w:pStyle w:val="5"/>
              <w:rPr>
                <w:rFonts w:hint="eastAsia" w:ascii="仿宋" w:hAnsi="仿宋" w:eastAsia="仿宋" w:cs="仿宋"/>
                <w:sz w:val="24"/>
                <w:szCs w:val="24"/>
                <w:lang w:val="en-US" w:eastAsia="zh-CN"/>
              </w:rPr>
            </w:pPr>
            <w:r>
              <w:rPr>
                <w:rFonts w:hint="eastAsia" w:ascii="仿宋_GB2312" w:hAnsi="仿宋_GB2312" w:eastAsia="仿宋_GB2312" w:cs="仿宋_GB2312"/>
                <w:b w:val="0"/>
                <w:bCs w:val="0"/>
                <w:color w:val="auto"/>
                <w:kern w:val="2"/>
                <w:sz w:val="22"/>
                <w:szCs w:val="22"/>
                <w:lang w:val="en-US" w:eastAsia="zh-CN" w:bidi="ar-SA"/>
              </w:rPr>
              <w:t>响应时间快：2分；一般：1分；慢：0分</w:t>
            </w:r>
          </w:p>
        </w:tc>
        <w:tc>
          <w:tcPr>
            <w:tcW w:w="1272" w:type="dxa"/>
          </w:tcPr>
          <w:p w14:paraId="0CA8A272">
            <w:pPr>
              <w:rPr>
                <w:vertAlign w:val="baseline"/>
              </w:rPr>
            </w:pPr>
          </w:p>
        </w:tc>
      </w:tr>
      <w:tr w14:paraId="7BAD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406A6AD7">
            <w:pPr>
              <w:rPr>
                <w:vertAlign w:val="baseline"/>
              </w:rPr>
            </w:pPr>
          </w:p>
        </w:tc>
        <w:tc>
          <w:tcPr>
            <w:tcW w:w="2392" w:type="dxa"/>
            <w:vMerge w:val="continue"/>
          </w:tcPr>
          <w:p w14:paraId="4074260D">
            <w:pPr>
              <w:rPr>
                <w:vertAlign w:val="baseline"/>
              </w:rPr>
            </w:pPr>
          </w:p>
        </w:tc>
        <w:tc>
          <w:tcPr>
            <w:tcW w:w="4920" w:type="dxa"/>
          </w:tcPr>
          <w:p w14:paraId="7B45D77C">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E、服务体系的完善性（2分）</w:t>
            </w:r>
          </w:p>
          <w:p w14:paraId="5B64C2F2">
            <w:pPr>
              <w:pStyle w:val="5"/>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完善：2分；不完善：0分</w:t>
            </w:r>
          </w:p>
        </w:tc>
        <w:tc>
          <w:tcPr>
            <w:tcW w:w="1272" w:type="dxa"/>
          </w:tcPr>
          <w:p w14:paraId="0DAD8ABB">
            <w:pPr>
              <w:rPr>
                <w:vertAlign w:val="baseline"/>
              </w:rPr>
            </w:pPr>
          </w:p>
        </w:tc>
      </w:tr>
      <w:tr w14:paraId="384A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1C21DE8A">
            <w:pPr>
              <w:rPr>
                <w:vertAlign w:val="baseline"/>
              </w:rPr>
            </w:pPr>
          </w:p>
        </w:tc>
        <w:tc>
          <w:tcPr>
            <w:tcW w:w="2392" w:type="dxa"/>
            <w:vMerge w:val="continue"/>
          </w:tcPr>
          <w:p w14:paraId="4508778B">
            <w:pPr>
              <w:rPr>
                <w:vertAlign w:val="baseline"/>
              </w:rPr>
            </w:pPr>
          </w:p>
        </w:tc>
        <w:tc>
          <w:tcPr>
            <w:tcW w:w="4920" w:type="dxa"/>
          </w:tcPr>
          <w:p w14:paraId="0CB1D82B">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F、是否有服务质量保障措施（2分）</w:t>
            </w:r>
          </w:p>
          <w:p w14:paraId="6EE49852">
            <w:pPr>
              <w:pStyle w:val="5"/>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服务保障措施全面：2分；服务保障措施一般：1分；无：0分</w:t>
            </w:r>
          </w:p>
        </w:tc>
        <w:tc>
          <w:tcPr>
            <w:tcW w:w="1272" w:type="dxa"/>
          </w:tcPr>
          <w:p w14:paraId="6EEDC111">
            <w:pPr>
              <w:rPr>
                <w:vertAlign w:val="baseline"/>
              </w:rPr>
            </w:pPr>
          </w:p>
        </w:tc>
      </w:tr>
      <w:tr w14:paraId="21AF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5F27033E">
            <w:pPr>
              <w:rPr>
                <w:vertAlign w:val="baseline"/>
              </w:rPr>
            </w:pPr>
          </w:p>
        </w:tc>
        <w:tc>
          <w:tcPr>
            <w:tcW w:w="2392" w:type="dxa"/>
            <w:vMerge w:val="restart"/>
            <w:vAlign w:val="center"/>
          </w:tcPr>
          <w:p w14:paraId="3B797E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1.2专项法律服务方案</w:t>
            </w:r>
          </w:p>
          <w:p w14:paraId="3876B4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vertAlign w:val="baseline"/>
              </w:rPr>
            </w:pPr>
            <w:r>
              <w:rPr>
                <w:rFonts w:hint="eastAsia" w:ascii="仿宋" w:hAnsi="仿宋" w:eastAsia="仿宋" w:cs="仿宋"/>
                <w:b/>
                <w:bCs/>
                <w:sz w:val="24"/>
                <w:szCs w:val="24"/>
                <w:lang w:val="en-US" w:eastAsia="zh-CN"/>
              </w:rPr>
              <w:t>（共10分）</w:t>
            </w:r>
          </w:p>
        </w:tc>
        <w:tc>
          <w:tcPr>
            <w:tcW w:w="4920" w:type="dxa"/>
          </w:tcPr>
          <w:p w14:paraId="6830184E">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A、专项法律服务方案是否全面（2分）</w:t>
            </w:r>
          </w:p>
          <w:p w14:paraId="5CE89302">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非常全面：2分；一般：1分；无专项法律服务方案：0分</w:t>
            </w:r>
          </w:p>
        </w:tc>
        <w:tc>
          <w:tcPr>
            <w:tcW w:w="1272" w:type="dxa"/>
          </w:tcPr>
          <w:p w14:paraId="1FBC43D5">
            <w:pPr>
              <w:rPr>
                <w:vertAlign w:val="baseline"/>
              </w:rPr>
            </w:pPr>
          </w:p>
        </w:tc>
      </w:tr>
      <w:tr w14:paraId="184B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0573A72D">
            <w:pPr>
              <w:rPr>
                <w:vertAlign w:val="baseline"/>
              </w:rPr>
            </w:pPr>
          </w:p>
        </w:tc>
        <w:tc>
          <w:tcPr>
            <w:tcW w:w="2392" w:type="dxa"/>
            <w:vMerge w:val="continue"/>
          </w:tcPr>
          <w:p w14:paraId="06535E6D">
            <w:pPr>
              <w:rPr>
                <w:vertAlign w:val="baseline"/>
              </w:rPr>
            </w:pPr>
          </w:p>
        </w:tc>
        <w:tc>
          <w:tcPr>
            <w:tcW w:w="4920" w:type="dxa"/>
          </w:tcPr>
          <w:p w14:paraId="46C48A3B">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B、服务方式针对性、专业性（2分）</w:t>
            </w:r>
          </w:p>
          <w:p w14:paraId="511D158A">
            <w:p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非常全面：2分；一般：1分；无针对性：0分</w:t>
            </w:r>
          </w:p>
        </w:tc>
        <w:tc>
          <w:tcPr>
            <w:tcW w:w="1272" w:type="dxa"/>
          </w:tcPr>
          <w:p w14:paraId="111CEA5D">
            <w:pPr>
              <w:rPr>
                <w:vertAlign w:val="baseline"/>
              </w:rPr>
            </w:pPr>
          </w:p>
        </w:tc>
      </w:tr>
      <w:tr w14:paraId="2E98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62AE2089">
            <w:pPr>
              <w:rPr>
                <w:vertAlign w:val="baseline"/>
              </w:rPr>
            </w:pPr>
          </w:p>
        </w:tc>
        <w:tc>
          <w:tcPr>
            <w:tcW w:w="2392" w:type="dxa"/>
            <w:vMerge w:val="continue"/>
          </w:tcPr>
          <w:p w14:paraId="25F4D6CD">
            <w:pPr>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p>
        </w:tc>
        <w:tc>
          <w:tcPr>
            <w:tcW w:w="4920" w:type="dxa"/>
          </w:tcPr>
          <w:p w14:paraId="4B973F6F">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C、服务方式便利性（2分）</w:t>
            </w:r>
          </w:p>
          <w:p w14:paraId="6D652F48">
            <w:pPr>
              <w:pStyle w:val="5"/>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响应时间快：2分；一般：1分；慢：0分</w:t>
            </w:r>
          </w:p>
        </w:tc>
        <w:tc>
          <w:tcPr>
            <w:tcW w:w="1272" w:type="dxa"/>
          </w:tcPr>
          <w:p w14:paraId="5E7C3674">
            <w:pPr>
              <w:rPr>
                <w:vertAlign w:val="baseline"/>
              </w:rPr>
            </w:pPr>
          </w:p>
        </w:tc>
      </w:tr>
      <w:tr w14:paraId="7A5F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12AA37A6">
            <w:pPr>
              <w:rPr>
                <w:vertAlign w:val="baseline"/>
              </w:rPr>
            </w:pPr>
          </w:p>
        </w:tc>
        <w:tc>
          <w:tcPr>
            <w:tcW w:w="2392" w:type="dxa"/>
            <w:vMerge w:val="continue"/>
          </w:tcPr>
          <w:p w14:paraId="04C79ABF">
            <w:pPr>
              <w:rPr>
                <w:vertAlign w:val="baseline"/>
              </w:rPr>
            </w:pPr>
          </w:p>
        </w:tc>
        <w:tc>
          <w:tcPr>
            <w:tcW w:w="4920" w:type="dxa"/>
          </w:tcPr>
          <w:p w14:paraId="553BED4B">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D、专项法律服务费用收取优惠方案（2分）</w:t>
            </w:r>
          </w:p>
          <w:p w14:paraId="759EC393">
            <w:p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有：2分；无：0分</w:t>
            </w:r>
          </w:p>
        </w:tc>
        <w:tc>
          <w:tcPr>
            <w:tcW w:w="1272" w:type="dxa"/>
          </w:tcPr>
          <w:p w14:paraId="225A5A78">
            <w:pPr>
              <w:rPr>
                <w:vertAlign w:val="baseline"/>
              </w:rPr>
            </w:pPr>
          </w:p>
        </w:tc>
      </w:tr>
      <w:tr w14:paraId="497E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37A7C061">
            <w:pPr>
              <w:rPr>
                <w:vertAlign w:val="baseline"/>
              </w:rPr>
            </w:pPr>
          </w:p>
        </w:tc>
        <w:tc>
          <w:tcPr>
            <w:tcW w:w="2392" w:type="dxa"/>
            <w:vMerge w:val="continue"/>
          </w:tcPr>
          <w:p w14:paraId="18005B7C">
            <w:pPr>
              <w:rPr>
                <w:vertAlign w:val="baseline"/>
              </w:rPr>
            </w:pPr>
          </w:p>
        </w:tc>
        <w:tc>
          <w:tcPr>
            <w:tcW w:w="4920" w:type="dxa"/>
          </w:tcPr>
          <w:p w14:paraId="228FB802">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E、服务质量保障措施（2分）</w:t>
            </w:r>
          </w:p>
          <w:p w14:paraId="1075A04C">
            <w:p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有：2分；无：0分</w:t>
            </w:r>
          </w:p>
        </w:tc>
        <w:tc>
          <w:tcPr>
            <w:tcW w:w="1272" w:type="dxa"/>
          </w:tcPr>
          <w:p w14:paraId="0CF62F70">
            <w:pPr>
              <w:rPr>
                <w:vertAlign w:val="baseline"/>
              </w:rPr>
            </w:pPr>
          </w:p>
        </w:tc>
      </w:tr>
      <w:tr w14:paraId="741F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403C006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2.报价部分：</w:t>
            </w:r>
          </w:p>
          <w:p w14:paraId="2159A50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vertAlign w:val="baseline"/>
              </w:rPr>
            </w:pPr>
            <w:r>
              <w:rPr>
                <w:rFonts w:hint="eastAsia" w:ascii="黑体" w:hAnsi="黑体" w:eastAsia="黑体" w:cs="黑体"/>
                <w:b/>
                <w:bCs/>
                <w:kern w:val="2"/>
                <w:sz w:val="24"/>
                <w:szCs w:val="24"/>
                <w:lang w:val="en-US" w:eastAsia="zh-CN" w:bidi="ar-SA"/>
              </w:rPr>
              <w:t>20分</w:t>
            </w:r>
          </w:p>
        </w:tc>
        <w:tc>
          <w:tcPr>
            <w:tcW w:w="7312" w:type="dxa"/>
            <w:gridSpan w:val="2"/>
            <w:vAlign w:val="center"/>
          </w:tcPr>
          <w:p w14:paraId="5725A5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rPr>
              <w:t>报价得分＝（</w:t>
            </w:r>
            <w:r>
              <w:rPr>
                <w:rFonts w:hint="eastAsia" w:ascii="仿宋" w:hAnsi="仿宋" w:eastAsia="仿宋" w:cs="仿宋"/>
                <w:b/>
                <w:bCs/>
                <w:sz w:val="24"/>
                <w:szCs w:val="24"/>
                <w:lang w:val="en-US" w:eastAsia="zh-CN"/>
              </w:rPr>
              <w:t>有效最低报价</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最终</w:t>
            </w:r>
            <w:r>
              <w:rPr>
                <w:rFonts w:hint="eastAsia" w:ascii="仿宋" w:hAnsi="仿宋" w:eastAsia="仿宋" w:cs="仿宋"/>
                <w:b/>
                <w:bCs/>
                <w:sz w:val="24"/>
                <w:szCs w:val="24"/>
              </w:rPr>
              <w:t>报价）×</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0</w:t>
            </w:r>
            <w:bookmarkStart w:id="0" w:name="_GoBack"/>
            <w:bookmarkEnd w:id="0"/>
          </w:p>
        </w:tc>
        <w:tc>
          <w:tcPr>
            <w:tcW w:w="1272" w:type="dxa"/>
          </w:tcPr>
          <w:p w14:paraId="7D5A94F6">
            <w:pPr>
              <w:rPr>
                <w:vertAlign w:val="baseline"/>
              </w:rPr>
            </w:pPr>
          </w:p>
        </w:tc>
      </w:tr>
      <w:tr w14:paraId="251F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restart"/>
            <w:vAlign w:val="center"/>
          </w:tcPr>
          <w:p w14:paraId="0F62619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3.专业评分：</w:t>
            </w:r>
          </w:p>
          <w:p w14:paraId="1CBAF7B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50分</w:t>
            </w:r>
          </w:p>
          <w:p w14:paraId="10466344">
            <w:pPr>
              <w:jc w:val="center"/>
              <w:rPr>
                <w:vertAlign w:val="baseline"/>
              </w:rPr>
            </w:pPr>
          </w:p>
        </w:tc>
        <w:tc>
          <w:tcPr>
            <w:tcW w:w="2392" w:type="dxa"/>
            <w:vMerge w:val="restart"/>
            <w:vAlign w:val="center"/>
          </w:tcPr>
          <w:p w14:paraId="5D20675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3.1供应商</w:t>
            </w:r>
            <w:r>
              <w:rPr>
                <w:rFonts w:hint="eastAsia" w:ascii="仿宋" w:hAnsi="仿宋" w:eastAsia="仿宋" w:cs="仿宋"/>
                <w:b/>
                <w:bCs/>
                <w:sz w:val="24"/>
                <w:szCs w:val="24"/>
              </w:rPr>
              <w:t>的综合情况</w:t>
            </w:r>
          </w:p>
          <w:p w14:paraId="08D1D06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vertAlign w:val="baseline"/>
              </w:rPr>
            </w:pPr>
            <w:r>
              <w:rPr>
                <w:rFonts w:hint="eastAsia" w:ascii="仿宋" w:hAnsi="仿宋" w:eastAsia="仿宋" w:cs="仿宋"/>
                <w:b/>
                <w:bCs/>
                <w:sz w:val="24"/>
                <w:szCs w:val="24"/>
              </w:rPr>
              <w:t>（</w:t>
            </w:r>
            <w:r>
              <w:rPr>
                <w:rFonts w:hint="eastAsia" w:ascii="仿宋" w:hAnsi="仿宋" w:eastAsia="仿宋" w:cs="仿宋"/>
                <w:b/>
                <w:bCs/>
                <w:sz w:val="24"/>
                <w:szCs w:val="24"/>
                <w:lang w:eastAsia="zh-CN"/>
              </w:rPr>
              <w:t>共</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分）</w:t>
            </w:r>
          </w:p>
        </w:tc>
        <w:tc>
          <w:tcPr>
            <w:tcW w:w="4920" w:type="dxa"/>
          </w:tcPr>
          <w:p w14:paraId="1FC9732E">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A、律师事务所成立时间（4分）</w:t>
            </w:r>
          </w:p>
          <w:p w14:paraId="05A0DA72">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20年以上：4分；10年以上：2分； 5-10年：1分； 未满5年：0分</w:t>
            </w:r>
          </w:p>
        </w:tc>
        <w:tc>
          <w:tcPr>
            <w:tcW w:w="1272" w:type="dxa"/>
          </w:tcPr>
          <w:p w14:paraId="30FD7B6E">
            <w:pPr>
              <w:rPr>
                <w:vertAlign w:val="baseline"/>
              </w:rPr>
            </w:pPr>
          </w:p>
        </w:tc>
      </w:tr>
      <w:tr w14:paraId="135E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4868B8B7">
            <w:pPr>
              <w:rPr>
                <w:vertAlign w:val="baseline"/>
              </w:rPr>
            </w:pPr>
          </w:p>
        </w:tc>
        <w:tc>
          <w:tcPr>
            <w:tcW w:w="2392" w:type="dxa"/>
            <w:vMerge w:val="continue"/>
          </w:tcPr>
          <w:p w14:paraId="1277F08A">
            <w:pPr>
              <w:rPr>
                <w:vertAlign w:val="baseline"/>
              </w:rPr>
            </w:pPr>
          </w:p>
        </w:tc>
        <w:tc>
          <w:tcPr>
            <w:tcW w:w="4920" w:type="dxa"/>
          </w:tcPr>
          <w:p w14:paraId="5C84C45D">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B、执业律师人数（4分）</w:t>
            </w:r>
          </w:p>
          <w:p w14:paraId="096972E8">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50人以上：4分；40-49人：3分; 30-39人：2分; 20-29人:1分；19人以下:0分</w:t>
            </w:r>
          </w:p>
        </w:tc>
        <w:tc>
          <w:tcPr>
            <w:tcW w:w="1272" w:type="dxa"/>
          </w:tcPr>
          <w:p w14:paraId="72FF2234">
            <w:pPr>
              <w:rPr>
                <w:vertAlign w:val="baseline"/>
              </w:rPr>
            </w:pPr>
          </w:p>
        </w:tc>
      </w:tr>
      <w:tr w14:paraId="459D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3628C082">
            <w:pPr>
              <w:rPr>
                <w:vertAlign w:val="baseline"/>
              </w:rPr>
            </w:pPr>
          </w:p>
        </w:tc>
        <w:tc>
          <w:tcPr>
            <w:tcW w:w="2392" w:type="dxa"/>
            <w:vMerge w:val="continue"/>
          </w:tcPr>
          <w:p w14:paraId="3F085432">
            <w:pPr>
              <w:rPr>
                <w:vertAlign w:val="baseline"/>
              </w:rPr>
            </w:pPr>
          </w:p>
        </w:tc>
        <w:tc>
          <w:tcPr>
            <w:tcW w:w="4920" w:type="dxa"/>
          </w:tcPr>
          <w:p w14:paraId="660A99F7">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C、根据年度审计报告或会计报表反映的业绩，供应商最近年度收入情况（4分）</w:t>
            </w:r>
          </w:p>
          <w:p w14:paraId="391C7C7B">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3000万元以上：4分；1000-3000万元：3分；500-1000万元：2分；500万以下：1分</w:t>
            </w:r>
          </w:p>
        </w:tc>
        <w:tc>
          <w:tcPr>
            <w:tcW w:w="1272" w:type="dxa"/>
          </w:tcPr>
          <w:p w14:paraId="2501C97C">
            <w:pPr>
              <w:rPr>
                <w:vertAlign w:val="baseline"/>
              </w:rPr>
            </w:pPr>
          </w:p>
        </w:tc>
      </w:tr>
      <w:tr w14:paraId="2A43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5772C144">
            <w:pPr>
              <w:rPr>
                <w:vertAlign w:val="baseline"/>
              </w:rPr>
            </w:pPr>
          </w:p>
        </w:tc>
        <w:tc>
          <w:tcPr>
            <w:tcW w:w="2392" w:type="dxa"/>
            <w:vMerge w:val="continue"/>
          </w:tcPr>
          <w:p w14:paraId="2AA2DAA4">
            <w:pPr>
              <w:rPr>
                <w:vertAlign w:val="baseline"/>
              </w:rPr>
            </w:pPr>
          </w:p>
        </w:tc>
        <w:tc>
          <w:tcPr>
            <w:tcW w:w="4920" w:type="dxa"/>
          </w:tcPr>
          <w:p w14:paraId="3A0206C1">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D、供应商是否设立党支部（2分）</w:t>
            </w:r>
          </w:p>
          <w:p w14:paraId="0F253F32">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设立：2分；未设立：0分</w:t>
            </w:r>
          </w:p>
        </w:tc>
        <w:tc>
          <w:tcPr>
            <w:tcW w:w="1272" w:type="dxa"/>
          </w:tcPr>
          <w:p w14:paraId="35D0B87A">
            <w:pPr>
              <w:rPr>
                <w:vertAlign w:val="baseline"/>
              </w:rPr>
            </w:pPr>
          </w:p>
        </w:tc>
      </w:tr>
      <w:tr w14:paraId="2455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473F8617">
            <w:pPr>
              <w:rPr>
                <w:vertAlign w:val="baseline"/>
              </w:rPr>
            </w:pPr>
          </w:p>
        </w:tc>
        <w:tc>
          <w:tcPr>
            <w:tcW w:w="2392" w:type="dxa"/>
            <w:vMerge w:val="continue"/>
          </w:tcPr>
          <w:p w14:paraId="02B9CFA7">
            <w:pPr>
              <w:rPr>
                <w:vertAlign w:val="baseline"/>
              </w:rPr>
            </w:pPr>
          </w:p>
        </w:tc>
        <w:tc>
          <w:tcPr>
            <w:tcW w:w="4920" w:type="dxa"/>
          </w:tcPr>
          <w:p w14:paraId="25B9F9AC">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E、供应商是否购买律师事务所或律师执业保险（3分）</w:t>
            </w:r>
          </w:p>
          <w:p w14:paraId="1964E477">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有：3分；否：0分</w:t>
            </w:r>
          </w:p>
        </w:tc>
        <w:tc>
          <w:tcPr>
            <w:tcW w:w="1272" w:type="dxa"/>
          </w:tcPr>
          <w:p w14:paraId="45E4971D">
            <w:pPr>
              <w:rPr>
                <w:vertAlign w:val="baseline"/>
              </w:rPr>
            </w:pPr>
          </w:p>
        </w:tc>
      </w:tr>
      <w:tr w14:paraId="3228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7FC51875">
            <w:pPr>
              <w:rPr>
                <w:vertAlign w:val="baseline"/>
              </w:rPr>
            </w:pPr>
          </w:p>
        </w:tc>
        <w:tc>
          <w:tcPr>
            <w:tcW w:w="2392" w:type="dxa"/>
            <w:vMerge w:val="continue"/>
          </w:tcPr>
          <w:p w14:paraId="1146B83D">
            <w:pPr>
              <w:rPr>
                <w:vertAlign w:val="baseline"/>
              </w:rPr>
            </w:pPr>
          </w:p>
        </w:tc>
        <w:tc>
          <w:tcPr>
            <w:tcW w:w="4920" w:type="dxa"/>
          </w:tcPr>
          <w:p w14:paraId="1D4A96A2">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F、供应商获得的荣誉情况（4分）</w:t>
            </w:r>
          </w:p>
          <w:p w14:paraId="537375E9">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获得国家级表彰：4分；获得省部级表彰：3分；获得市级表彰2分；获得县级表彰：1分</w:t>
            </w:r>
          </w:p>
        </w:tc>
        <w:tc>
          <w:tcPr>
            <w:tcW w:w="1272" w:type="dxa"/>
          </w:tcPr>
          <w:p w14:paraId="06690BAB">
            <w:pPr>
              <w:rPr>
                <w:vertAlign w:val="baseline"/>
              </w:rPr>
            </w:pPr>
          </w:p>
        </w:tc>
      </w:tr>
      <w:tr w14:paraId="43E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8" w:type="dxa"/>
            <w:vMerge w:val="continue"/>
          </w:tcPr>
          <w:p w14:paraId="40A42560">
            <w:pPr>
              <w:rPr>
                <w:vertAlign w:val="baseline"/>
              </w:rPr>
            </w:pPr>
          </w:p>
        </w:tc>
        <w:tc>
          <w:tcPr>
            <w:tcW w:w="2392" w:type="dxa"/>
            <w:vMerge w:val="continue"/>
          </w:tcPr>
          <w:p w14:paraId="32551942">
            <w:pPr>
              <w:rPr>
                <w:vertAlign w:val="baseline"/>
              </w:rPr>
            </w:pPr>
          </w:p>
        </w:tc>
        <w:tc>
          <w:tcPr>
            <w:tcW w:w="4920" w:type="dxa"/>
          </w:tcPr>
          <w:p w14:paraId="7386758B">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G、供应商是否曾为本公司或集团下属企业提供过法律服务（1分）</w:t>
            </w:r>
          </w:p>
          <w:p w14:paraId="58270A09">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有：1分；无：0分</w:t>
            </w:r>
          </w:p>
        </w:tc>
        <w:tc>
          <w:tcPr>
            <w:tcW w:w="1272" w:type="dxa"/>
          </w:tcPr>
          <w:p w14:paraId="3608233D">
            <w:pPr>
              <w:rPr>
                <w:vertAlign w:val="baseline"/>
              </w:rPr>
            </w:pPr>
          </w:p>
        </w:tc>
      </w:tr>
      <w:tr w14:paraId="5DB2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596C5E9E">
            <w:pPr>
              <w:rPr>
                <w:vertAlign w:val="baseline"/>
              </w:rPr>
            </w:pPr>
          </w:p>
        </w:tc>
        <w:tc>
          <w:tcPr>
            <w:tcW w:w="2392" w:type="dxa"/>
            <w:vMerge w:val="continue"/>
          </w:tcPr>
          <w:p w14:paraId="2DA1A8D7">
            <w:pPr>
              <w:rPr>
                <w:vertAlign w:val="baseline"/>
              </w:rPr>
            </w:pPr>
          </w:p>
        </w:tc>
        <w:tc>
          <w:tcPr>
            <w:tcW w:w="4920" w:type="dxa"/>
          </w:tcPr>
          <w:p w14:paraId="523E8E9D">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H、供应商现有合作的常年法律顾问单位情况（4分）</w:t>
            </w:r>
          </w:p>
          <w:p w14:paraId="4A1EE38E">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50家以上：4分；30-49家：3分；10-29家：2分；9家以下：1分</w:t>
            </w:r>
          </w:p>
        </w:tc>
        <w:tc>
          <w:tcPr>
            <w:tcW w:w="1272" w:type="dxa"/>
          </w:tcPr>
          <w:p w14:paraId="206B7A5C">
            <w:pPr>
              <w:rPr>
                <w:vertAlign w:val="baseline"/>
              </w:rPr>
            </w:pPr>
          </w:p>
        </w:tc>
      </w:tr>
      <w:tr w14:paraId="0198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66FEB187">
            <w:pPr>
              <w:rPr>
                <w:vertAlign w:val="baseline"/>
              </w:rPr>
            </w:pPr>
          </w:p>
        </w:tc>
        <w:tc>
          <w:tcPr>
            <w:tcW w:w="2392" w:type="dxa"/>
            <w:vMerge w:val="continue"/>
          </w:tcPr>
          <w:p w14:paraId="6FA489B2">
            <w:pPr>
              <w:rPr>
                <w:vertAlign w:val="baseline"/>
              </w:rPr>
            </w:pPr>
          </w:p>
        </w:tc>
        <w:tc>
          <w:tcPr>
            <w:tcW w:w="4920" w:type="dxa"/>
          </w:tcPr>
          <w:p w14:paraId="446D1713">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I、供应商现有常年法律顾问单位在性质或行业上与本企业情况相似的数量（4分）</w:t>
            </w:r>
          </w:p>
          <w:p w14:paraId="127D2E4C">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10家以上：4分；5-9家：3分；1-4家：2分；0家：0分</w:t>
            </w:r>
          </w:p>
        </w:tc>
        <w:tc>
          <w:tcPr>
            <w:tcW w:w="1272" w:type="dxa"/>
          </w:tcPr>
          <w:p w14:paraId="57C33C6D">
            <w:pPr>
              <w:rPr>
                <w:vertAlign w:val="baseline"/>
              </w:rPr>
            </w:pPr>
          </w:p>
        </w:tc>
      </w:tr>
      <w:tr w14:paraId="418D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73C4C2C2">
            <w:pPr>
              <w:rPr>
                <w:vertAlign w:val="baseline"/>
              </w:rPr>
            </w:pPr>
          </w:p>
        </w:tc>
        <w:tc>
          <w:tcPr>
            <w:tcW w:w="2392" w:type="dxa"/>
            <w:vMerge w:val="restart"/>
            <w:vAlign w:val="center"/>
          </w:tcPr>
          <w:p w14:paraId="54485AD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3.2供应商拟</w:t>
            </w:r>
            <w:r>
              <w:rPr>
                <w:rFonts w:hint="eastAsia" w:ascii="仿宋" w:hAnsi="仿宋" w:eastAsia="仿宋" w:cs="仿宋"/>
                <w:b/>
                <w:bCs/>
                <w:sz w:val="24"/>
                <w:szCs w:val="24"/>
              </w:rPr>
              <w:t>指派参与本项目律师情况</w:t>
            </w:r>
          </w:p>
          <w:p w14:paraId="2563E9F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vertAlign w:val="baseline"/>
              </w:rPr>
            </w:pPr>
            <w:r>
              <w:rPr>
                <w:rFonts w:hint="eastAsia" w:ascii="仿宋" w:hAnsi="仿宋" w:eastAsia="仿宋" w:cs="仿宋"/>
                <w:b/>
                <w:bCs/>
                <w:sz w:val="24"/>
                <w:szCs w:val="24"/>
              </w:rPr>
              <w:t>（共</w:t>
            </w: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分）</w:t>
            </w:r>
          </w:p>
        </w:tc>
        <w:tc>
          <w:tcPr>
            <w:tcW w:w="4920" w:type="dxa"/>
          </w:tcPr>
          <w:p w14:paraId="0ECC5669">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A、拟指派提供法律服务律师人数（3分）</w:t>
            </w:r>
          </w:p>
          <w:p w14:paraId="0CE70D08">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5人以上：3分；3-4人：2分；2人：1分；1人：不得分</w:t>
            </w:r>
          </w:p>
        </w:tc>
        <w:tc>
          <w:tcPr>
            <w:tcW w:w="1272" w:type="dxa"/>
          </w:tcPr>
          <w:p w14:paraId="501DCDE1">
            <w:pPr>
              <w:rPr>
                <w:vertAlign w:val="baseline"/>
              </w:rPr>
            </w:pPr>
          </w:p>
        </w:tc>
      </w:tr>
      <w:tr w14:paraId="3D67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678C96CA">
            <w:pPr>
              <w:rPr>
                <w:vertAlign w:val="baseline"/>
              </w:rPr>
            </w:pPr>
          </w:p>
        </w:tc>
        <w:tc>
          <w:tcPr>
            <w:tcW w:w="2392" w:type="dxa"/>
            <w:vMerge w:val="continue"/>
          </w:tcPr>
          <w:p w14:paraId="1A21AAC0">
            <w:pPr>
              <w:rPr>
                <w:vertAlign w:val="baseline"/>
              </w:rPr>
            </w:pPr>
          </w:p>
        </w:tc>
        <w:tc>
          <w:tcPr>
            <w:tcW w:w="4920" w:type="dxa"/>
          </w:tcPr>
          <w:p w14:paraId="475BF614">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B、律师团队中有担任过法官、检察官、仲裁员、公证员的情况（2分）</w:t>
            </w:r>
          </w:p>
          <w:p w14:paraId="3BCC9D07">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有：2分；无：0分</w:t>
            </w:r>
          </w:p>
        </w:tc>
        <w:tc>
          <w:tcPr>
            <w:tcW w:w="1272" w:type="dxa"/>
          </w:tcPr>
          <w:p w14:paraId="41581B93">
            <w:pPr>
              <w:rPr>
                <w:vertAlign w:val="baseline"/>
              </w:rPr>
            </w:pPr>
          </w:p>
        </w:tc>
      </w:tr>
      <w:tr w14:paraId="644C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3B9E8C4A">
            <w:pPr>
              <w:rPr>
                <w:vertAlign w:val="baseline"/>
              </w:rPr>
            </w:pPr>
          </w:p>
        </w:tc>
        <w:tc>
          <w:tcPr>
            <w:tcW w:w="2392" w:type="dxa"/>
            <w:vMerge w:val="continue"/>
          </w:tcPr>
          <w:p w14:paraId="422B4122">
            <w:pPr>
              <w:rPr>
                <w:vertAlign w:val="baseline"/>
              </w:rPr>
            </w:pPr>
          </w:p>
        </w:tc>
        <w:tc>
          <w:tcPr>
            <w:tcW w:w="4920" w:type="dxa"/>
          </w:tcPr>
          <w:p w14:paraId="4CC03A8C">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C、律师团队执业年限满5年的律师情况 (3分)</w:t>
            </w:r>
          </w:p>
          <w:p w14:paraId="51E3AADB">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3人以上：3分；1-2人：2分；0人：0分</w:t>
            </w:r>
          </w:p>
        </w:tc>
        <w:tc>
          <w:tcPr>
            <w:tcW w:w="1272" w:type="dxa"/>
          </w:tcPr>
          <w:p w14:paraId="461A1DEF">
            <w:pPr>
              <w:rPr>
                <w:vertAlign w:val="baseline"/>
              </w:rPr>
            </w:pPr>
          </w:p>
        </w:tc>
      </w:tr>
      <w:tr w14:paraId="6925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1C8A80C1">
            <w:pPr>
              <w:rPr>
                <w:vertAlign w:val="baseline"/>
              </w:rPr>
            </w:pPr>
          </w:p>
        </w:tc>
        <w:tc>
          <w:tcPr>
            <w:tcW w:w="2392" w:type="dxa"/>
            <w:vMerge w:val="continue"/>
          </w:tcPr>
          <w:p w14:paraId="24F2136C">
            <w:pPr>
              <w:rPr>
                <w:vertAlign w:val="baseline"/>
              </w:rPr>
            </w:pPr>
          </w:p>
        </w:tc>
        <w:tc>
          <w:tcPr>
            <w:tcW w:w="4920" w:type="dxa"/>
          </w:tcPr>
          <w:p w14:paraId="1088910A">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D、指派律师获得的荣誉情况（5分）</w:t>
            </w:r>
          </w:p>
          <w:p w14:paraId="61A5DDFB">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律师团队中有人获得国家级表彰，或有两人以上获得省部级表彰，或有人两次以上获得省部级表彰的：5分；律师团队中有人获得省部级表彰的：3分；律师团队中有人获得市级表彰的：2分；律师团队中有人获得县级表彰的：1分</w:t>
            </w:r>
          </w:p>
        </w:tc>
        <w:tc>
          <w:tcPr>
            <w:tcW w:w="1272" w:type="dxa"/>
          </w:tcPr>
          <w:p w14:paraId="364C4F30">
            <w:pPr>
              <w:rPr>
                <w:vertAlign w:val="baseline"/>
              </w:rPr>
            </w:pPr>
          </w:p>
        </w:tc>
      </w:tr>
      <w:tr w14:paraId="7E91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54C790A4">
            <w:pPr>
              <w:rPr>
                <w:vertAlign w:val="baseline"/>
              </w:rPr>
            </w:pPr>
          </w:p>
        </w:tc>
        <w:tc>
          <w:tcPr>
            <w:tcW w:w="2392" w:type="dxa"/>
            <w:vMerge w:val="continue"/>
          </w:tcPr>
          <w:p w14:paraId="22E658D0">
            <w:pPr>
              <w:rPr>
                <w:vertAlign w:val="baseline"/>
              </w:rPr>
            </w:pPr>
          </w:p>
        </w:tc>
        <w:tc>
          <w:tcPr>
            <w:tcW w:w="4920" w:type="dxa"/>
          </w:tcPr>
          <w:p w14:paraId="3597787F">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E、律师团队首席（主要）律师执业年限（2分）</w:t>
            </w:r>
          </w:p>
          <w:p w14:paraId="7F74E073">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10年以上：2分； 5-10年: 1分; 5年以下：0分</w:t>
            </w:r>
          </w:p>
        </w:tc>
        <w:tc>
          <w:tcPr>
            <w:tcW w:w="1272" w:type="dxa"/>
          </w:tcPr>
          <w:p w14:paraId="72CE4E91">
            <w:pPr>
              <w:rPr>
                <w:vertAlign w:val="baseline"/>
              </w:rPr>
            </w:pPr>
          </w:p>
        </w:tc>
      </w:tr>
      <w:tr w14:paraId="21D7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19D5AD86">
            <w:pPr>
              <w:rPr>
                <w:vertAlign w:val="baseline"/>
              </w:rPr>
            </w:pPr>
          </w:p>
        </w:tc>
        <w:tc>
          <w:tcPr>
            <w:tcW w:w="2392" w:type="dxa"/>
            <w:vMerge w:val="continue"/>
          </w:tcPr>
          <w:p w14:paraId="2C734FD8">
            <w:pPr>
              <w:rPr>
                <w:vertAlign w:val="baseline"/>
              </w:rPr>
            </w:pPr>
          </w:p>
        </w:tc>
        <w:tc>
          <w:tcPr>
            <w:tcW w:w="4920" w:type="dxa"/>
          </w:tcPr>
          <w:p w14:paraId="05F1427E">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F、主要律师是否法律、经济/企业管理等复合型专业人才、知识结构是否全面(1分)</w:t>
            </w:r>
          </w:p>
          <w:p w14:paraId="5BCD29FC">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是：1分；否：0分</w:t>
            </w:r>
          </w:p>
        </w:tc>
        <w:tc>
          <w:tcPr>
            <w:tcW w:w="1272" w:type="dxa"/>
          </w:tcPr>
          <w:p w14:paraId="50AE6418">
            <w:pPr>
              <w:rPr>
                <w:vertAlign w:val="baseline"/>
              </w:rPr>
            </w:pPr>
          </w:p>
        </w:tc>
      </w:tr>
      <w:tr w14:paraId="598E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4544FF7A">
            <w:pPr>
              <w:rPr>
                <w:vertAlign w:val="baseline"/>
              </w:rPr>
            </w:pPr>
          </w:p>
        </w:tc>
        <w:tc>
          <w:tcPr>
            <w:tcW w:w="2392" w:type="dxa"/>
            <w:vMerge w:val="restart"/>
            <w:vAlign w:val="center"/>
          </w:tcPr>
          <w:p w14:paraId="08DFCBC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vertAlign w:val="baseline"/>
              </w:rPr>
            </w:pPr>
            <w:r>
              <w:rPr>
                <w:rFonts w:hint="eastAsia" w:ascii="仿宋" w:hAnsi="仿宋" w:eastAsia="仿宋" w:cs="仿宋"/>
                <w:b/>
                <w:bCs/>
                <w:sz w:val="24"/>
                <w:szCs w:val="24"/>
                <w:lang w:val="en-US" w:eastAsia="zh-CN"/>
              </w:rPr>
              <w:t>3.3磋商承诺及现场表现（4分）</w:t>
            </w:r>
          </w:p>
        </w:tc>
        <w:tc>
          <w:tcPr>
            <w:tcW w:w="4920" w:type="dxa"/>
          </w:tcPr>
          <w:p w14:paraId="1262D7A2">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A、形象/沟通能力/口头表达能力(2分)</w:t>
            </w:r>
          </w:p>
          <w:p w14:paraId="4DBFFA6F">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好：2分；一般：1分；差：0分</w:t>
            </w:r>
          </w:p>
        </w:tc>
        <w:tc>
          <w:tcPr>
            <w:tcW w:w="1272" w:type="dxa"/>
          </w:tcPr>
          <w:p w14:paraId="1AB0B1E1">
            <w:pPr>
              <w:rPr>
                <w:vertAlign w:val="baseline"/>
              </w:rPr>
            </w:pPr>
          </w:p>
        </w:tc>
      </w:tr>
      <w:tr w14:paraId="0736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Merge w:val="continue"/>
          </w:tcPr>
          <w:p w14:paraId="7FA9A0D1">
            <w:pPr>
              <w:rPr>
                <w:vertAlign w:val="baseline"/>
              </w:rPr>
            </w:pPr>
          </w:p>
        </w:tc>
        <w:tc>
          <w:tcPr>
            <w:tcW w:w="2392" w:type="dxa"/>
            <w:vMerge w:val="continue"/>
          </w:tcPr>
          <w:p w14:paraId="2698CD38">
            <w:pPr>
              <w:rPr>
                <w:vertAlign w:val="baseline"/>
              </w:rPr>
            </w:pPr>
          </w:p>
        </w:tc>
        <w:tc>
          <w:tcPr>
            <w:tcW w:w="4920" w:type="dxa"/>
          </w:tcPr>
          <w:p w14:paraId="69A68C74">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B、提供资料是否符合磋商要求 (2分)</w:t>
            </w:r>
          </w:p>
          <w:p w14:paraId="4920DE55">
            <w:pPr>
              <w:numPr>
                <w:ilvl w:val="0"/>
                <w:numId w:val="0"/>
              </w:numPr>
              <w:rPr>
                <w:rFonts w:hint="eastAsia" w:ascii="楷体_GB2312" w:hAnsi="楷体_GB2312" w:eastAsia="楷体_GB2312" w:cs="楷体_GB2312"/>
                <w:b/>
                <w:bCs/>
                <w:kern w:val="2"/>
                <w:sz w:val="24"/>
                <w:szCs w:val="24"/>
                <w:lang w:val="en-US" w:eastAsia="zh-CN" w:bidi="ar-SA"/>
              </w:rPr>
            </w:pPr>
            <w:r>
              <w:rPr>
                <w:rFonts w:hint="eastAsia" w:ascii="仿宋_GB2312" w:hAnsi="仿宋_GB2312" w:eastAsia="仿宋_GB2312" w:cs="仿宋_GB2312"/>
                <w:b w:val="0"/>
                <w:bCs w:val="0"/>
                <w:color w:val="auto"/>
                <w:kern w:val="2"/>
                <w:sz w:val="22"/>
                <w:szCs w:val="22"/>
                <w:lang w:val="en-US" w:eastAsia="zh-CN" w:bidi="ar-SA"/>
              </w:rPr>
              <w:t>完全符合的2分，欠缺资料或承诺文件的，每少一项扣1分，扣完为止。</w:t>
            </w:r>
          </w:p>
        </w:tc>
        <w:tc>
          <w:tcPr>
            <w:tcW w:w="1272" w:type="dxa"/>
          </w:tcPr>
          <w:p w14:paraId="5DBB3B6D">
            <w:pPr>
              <w:rPr>
                <w:vertAlign w:val="baseline"/>
              </w:rPr>
            </w:pPr>
          </w:p>
        </w:tc>
      </w:tr>
      <w:tr w14:paraId="2037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gridSpan w:val="3"/>
          </w:tcPr>
          <w:p w14:paraId="127FA8D4">
            <w:pPr>
              <w:jc w:val="right"/>
              <w:rPr>
                <w:rFonts w:hint="eastAsia" w:ascii="仿宋" w:hAnsi="仿宋" w:eastAsia="仿宋" w:cs="仿宋"/>
                <w:sz w:val="24"/>
                <w:szCs w:val="24"/>
                <w:lang w:val="en-US" w:eastAsia="zh-CN"/>
              </w:rPr>
            </w:pPr>
            <w:r>
              <w:rPr>
                <w:rFonts w:hint="eastAsia" w:ascii="方正小标宋简体" w:hAnsi="方正小标宋简体" w:eastAsia="方正小标宋简体" w:cs="方正小标宋简体"/>
                <w:b w:val="0"/>
                <w:bCs w:val="0"/>
                <w:sz w:val="32"/>
                <w:szCs w:val="32"/>
                <w:u w:val="single"/>
                <w:lang w:val="en-US" w:eastAsia="zh-CN"/>
              </w:rPr>
              <w:t xml:space="preserve">                         </w:t>
            </w:r>
            <w:r>
              <w:rPr>
                <w:rFonts w:hint="eastAsia" w:ascii="方正小标宋简体" w:hAnsi="方正小标宋简体" w:eastAsia="方正小标宋简体" w:cs="方正小标宋简体"/>
                <w:b w:val="0"/>
                <w:bCs w:val="0"/>
                <w:sz w:val="30"/>
                <w:szCs w:val="30"/>
                <w:u w:val="none"/>
                <w:lang w:val="en-US" w:eastAsia="zh-CN"/>
              </w:rPr>
              <w:t>（</w:t>
            </w:r>
            <w:r>
              <w:rPr>
                <w:rFonts w:hint="eastAsia" w:ascii="仿宋" w:hAnsi="仿宋" w:eastAsia="仿宋" w:cs="仿宋"/>
                <w:b/>
                <w:bCs/>
                <w:sz w:val="30"/>
                <w:szCs w:val="30"/>
                <w:u w:val="none"/>
                <w:lang w:val="en-US" w:eastAsia="zh-CN"/>
              </w:rPr>
              <w:t>供应商</w:t>
            </w:r>
            <w:r>
              <w:rPr>
                <w:rFonts w:hint="eastAsia" w:ascii="方正小标宋简体" w:hAnsi="方正小标宋简体" w:eastAsia="方正小标宋简体" w:cs="方正小标宋简体"/>
                <w:b w:val="0"/>
                <w:bCs w:val="0"/>
                <w:sz w:val="30"/>
                <w:szCs w:val="30"/>
                <w:u w:val="none"/>
                <w:lang w:val="en-US" w:eastAsia="zh-CN"/>
              </w:rPr>
              <w:t>）</w:t>
            </w:r>
            <w:r>
              <w:rPr>
                <w:rFonts w:hint="eastAsia" w:ascii="方正小标宋简体" w:hAnsi="方正小标宋简体" w:eastAsia="方正小标宋简体" w:cs="方正小标宋简体"/>
                <w:b w:val="0"/>
                <w:bCs w:val="0"/>
                <w:sz w:val="32"/>
                <w:szCs w:val="32"/>
                <w:lang w:val="en-US" w:eastAsia="zh-CN"/>
              </w:rPr>
              <w:t>最终得分：</w:t>
            </w:r>
          </w:p>
        </w:tc>
        <w:tc>
          <w:tcPr>
            <w:tcW w:w="1272" w:type="dxa"/>
          </w:tcPr>
          <w:p w14:paraId="0947382E">
            <w:pPr>
              <w:rPr>
                <w:vertAlign w:val="baseline"/>
              </w:rPr>
            </w:pPr>
          </w:p>
        </w:tc>
      </w:tr>
    </w:tbl>
    <w:p w14:paraId="1449AA3F">
      <w:r>
        <w:br w:type="page"/>
      </w:r>
    </w:p>
    <w:p w14:paraId="5D5E9135">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附：综合评估选择法律顾问的参数与分数设置理由</w:t>
      </w:r>
    </w:p>
    <w:p w14:paraId="52AC013F">
      <w:pPr>
        <w:pStyle w:val="5"/>
        <w:numPr>
          <w:ilvl w:val="0"/>
          <w:numId w:val="0"/>
        </w:numPr>
        <w:ind w:left="0" w:leftChars="0" w:firstLine="482" w:firstLineChars="200"/>
        <w:rPr>
          <w:rFonts w:hint="eastAsia" w:ascii="仿宋" w:hAnsi="仿宋" w:eastAsia="仿宋" w:cs="仿宋"/>
          <w:b/>
          <w:bCs/>
          <w:sz w:val="24"/>
          <w:szCs w:val="24"/>
          <w:lang w:eastAsia="zh-CN"/>
        </w:rPr>
      </w:pPr>
    </w:p>
    <w:p w14:paraId="4DC309F4">
      <w:pPr>
        <w:pStyle w:val="5"/>
        <w:numPr>
          <w:ilvl w:val="0"/>
          <w:numId w:val="0"/>
        </w:numPr>
        <w:ind w:left="0" w:leftChars="0" w:firstLine="480" w:firstLineChars="200"/>
        <w:rPr>
          <w:rFonts w:hint="eastAsia" w:ascii="仿宋" w:hAnsi="仿宋" w:eastAsia="仿宋" w:cs="仿宋"/>
          <w:b w:val="0"/>
          <w:bCs w:val="0"/>
          <w:color w:val="000000"/>
          <w:kern w:val="0"/>
          <w:sz w:val="24"/>
          <w:szCs w:val="24"/>
          <w:lang w:val="en-US" w:eastAsia="zh-CN" w:bidi="ar-SA"/>
        </w:rPr>
      </w:pPr>
      <w:r>
        <w:rPr>
          <w:rFonts w:hint="eastAsia" w:ascii="黑体" w:hAnsi="黑体" w:eastAsia="黑体" w:cs="黑体"/>
          <w:b w:val="0"/>
          <w:bCs w:val="0"/>
          <w:color w:val="auto"/>
          <w:kern w:val="2"/>
          <w:sz w:val="24"/>
          <w:szCs w:val="24"/>
          <w:lang w:val="en-US" w:eastAsia="zh-CN" w:bidi="ar-SA"/>
        </w:rPr>
        <w:t>一、资格要求</w:t>
      </w:r>
      <w:r>
        <w:rPr>
          <w:rFonts w:hint="eastAsia" w:ascii="仿宋" w:hAnsi="仿宋" w:eastAsia="仿宋" w:cs="仿宋"/>
          <w:b/>
          <w:bCs/>
          <w:sz w:val="24"/>
          <w:szCs w:val="24"/>
          <w:lang w:eastAsia="zh-CN"/>
        </w:rPr>
        <w:t>（</w:t>
      </w:r>
      <w:r>
        <w:rPr>
          <w:rFonts w:hint="eastAsia" w:ascii="仿宋" w:hAnsi="仿宋" w:eastAsia="仿宋" w:cs="仿宋"/>
          <w:b/>
          <w:bCs/>
          <w:color w:val="000000"/>
          <w:kern w:val="0"/>
          <w:sz w:val="24"/>
          <w:szCs w:val="24"/>
          <w:u w:val="single"/>
          <w:lang w:val="en-US" w:eastAsia="zh-CN" w:bidi="ar-SA"/>
        </w:rPr>
        <w:t>总所与分所资质与业绩不能混用</w:t>
      </w:r>
      <w:r>
        <w:rPr>
          <w:rFonts w:hint="eastAsia" w:ascii="仿宋" w:hAnsi="仿宋" w:eastAsia="仿宋" w:cs="仿宋"/>
          <w:b w:val="0"/>
          <w:bCs w:val="0"/>
          <w:color w:val="000000"/>
          <w:kern w:val="0"/>
          <w:sz w:val="24"/>
          <w:szCs w:val="24"/>
          <w:lang w:val="en-US" w:eastAsia="zh-CN" w:bidi="ar-SA"/>
        </w:rPr>
        <w:t>，理由：总所和分所可能在专业领域和经验上存在差异。明确区分资质和业绩可以确保所聘请的法律顾问具备实际需要的专业能力和经验；防止虚假宣传，有些分所可能会借用总所的名义进行宣传，实际能力却不匹配。明确规定可以防止这种情况，确保客户获得真实的信息；分所的实际操作能力和总所可能存在差异，明确区分可以确保客户获得符合预期的服务质量；明确规定可以防止一些分所借用总所的资质和业绩进行不公平竞争，维护市场的公平性。通过这些措施，可以更好地保障客户的权益，确保所聘请的法律顾问能够真正满足需求</w:t>
      </w:r>
      <w:r>
        <w:rPr>
          <w:rFonts w:hint="eastAsia" w:ascii="仿宋" w:hAnsi="仿宋" w:eastAsia="仿宋" w:cs="仿宋"/>
          <w:b/>
          <w:bCs/>
          <w:sz w:val="24"/>
          <w:szCs w:val="24"/>
          <w:lang w:eastAsia="zh-CN"/>
        </w:rPr>
        <w:t>）</w:t>
      </w:r>
    </w:p>
    <w:p w14:paraId="240FB5D8">
      <w:pPr>
        <w:pStyle w:val="5"/>
        <w:numPr>
          <w:ilvl w:val="0"/>
          <w:numId w:val="0"/>
        </w:numPr>
        <w:ind w:left="0" w:leftChars="0"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color w:val="000000"/>
          <w:kern w:val="0"/>
          <w:sz w:val="24"/>
          <w:szCs w:val="24"/>
          <w:lang w:val="en-US" w:eastAsia="zh-CN" w:bidi="ar-SA"/>
        </w:rPr>
        <w:t>1.</w:t>
      </w:r>
      <w:r>
        <w:rPr>
          <w:rFonts w:hint="eastAsia" w:ascii="仿宋" w:hAnsi="仿宋" w:eastAsia="仿宋" w:cs="仿宋"/>
          <w:b/>
          <w:bCs/>
          <w:sz w:val="24"/>
          <w:szCs w:val="24"/>
          <w:highlight w:val="none"/>
          <w:u w:val="none"/>
        </w:rPr>
        <w:t>供应商必须</w:t>
      </w:r>
      <w:r>
        <w:rPr>
          <w:rFonts w:hint="eastAsia" w:ascii="仿宋" w:hAnsi="仿宋" w:eastAsia="仿宋" w:cs="仿宋"/>
          <w:b/>
          <w:bCs/>
          <w:sz w:val="24"/>
          <w:szCs w:val="24"/>
          <w:lang w:eastAsia="zh-CN"/>
        </w:rPr>
        <w:t>是经国家司法行政主管部门合法登记注册满</w:t>
      </w:r>
      <w:r>
        <w:rPr>
          <w:rFonts w:hint="eastAsia" w:ascii="仿宋" w:hAnsi="仿宋" w:eastAsia="仿宋" w:cs="仿宋"/>
          <w:b/>
          <w:bCs/>
          <w:sz w:val="24"/>
          <w:szCs w:val="24"/>
          <w:lang w:val="en-US" w:eastAsia="zh-CN"/>
        </w:rPr>
        <w:t>5年</w:t>
      </w:r>
      <w:r>
        <w:rPr>
          <w:rFonts w:hint="eastAsia" w:ascii="仿宋" w:hAnsi="仿宋" w:eastAsia="仿宋" w:cs="仿宋"/>
          <w:b/>
          <w:bCs/>
          <w:sz w:val="24"/>
          <w:szCs w:val="24"/>
          <w:lang w:eastAsia="zh-CN"/>
        </w:rPr>
        <w:t>的律师事务所</w:t>
      </w:r>
      <w:r>
        <w:rPr>
          <w:rFonts w:hint="eastAsia" w:ascii="仿宋" w:hAnsi="仿宋" w:eastAsia="仿宋" w:cs="仿宋"/>
          <w:b w:val="0"/>
          <w:bCs w:val="0"/>
          <w:sz w:val="24"/>
          <w:szCs w:val="24"/>
          <w:lang w:eastAsia="zh-CN"/>
        </w:rPr>
        <w:t>（理由：一般成立时间长的律所通常积累了更为丰富的法律实践经验、有稳定的团队、良好的声誉、广泛的资源、专业的管理）；</w:t>
      </w:r>
    </w:p>
    <w:p w14:paraId="32A3046C">
      <w:pPr>
        <w:pStyle w:val="5"/>
        <w:numPr>
          <w:ilvl w:val="0"/>
          <w:numId w:val="0"/>
        </w:numPr>
        <w:ind w:left="0" w:leftChars="0" w:firstLine="482"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2.供应商在项目服务地市级行政区域内设有固定办公场所</w:t>
      </w:r>
      <w:r>
        <w:rPr>
          <w:rFonts w:hint="eastAsia" w:ascii="仿宋" w:hAnsi="仿宋" w:eastAsia="仿宋" w:cs="仿宋"/>
          <w:b w:val="0"/>
          <w:bCs w:val="0"/>
          <w:color w:val="000000"/>
          <w:kern w:val="0"/>
          <w:sz w:val="24"/>
          <w:szCs w:val="24"/>
          <w:lang w:val="en-US" w:eastAsia="zh-CN" w:bidi="ar-SA"/>
        </w:rPr>
        <w:t>（理由：固定办公场所使得企业和法律顾问之间的沟通更加便捷，面对面交流可以提高沟通效率，减少误解和信息传递的延迟；律所能够更快速地响应企业的法律需求，提供及时的法律支持和服务，尤其在紧急情况下显得尤为重要；固定办公场所的设立意味着律所对当地的法律环境、法规政策、司法实践等有更深入的了解，能够提供更具针对性和实效性的法律建议；固定办公场所的存在可以增强企业对律所的信任感，显示出律所的稳定性和可靠性，减少企业对法律服务质量的担忧；在项目服务地设有办公场所的律所可以更方便地处理当地的法律事务，如出庭、与当地政府部门或其他相关机构的沟通等，减少了因地理距离带来的不便；固定办公场所可以减少企业和律所之间的差旅成本和时间，提高工作效率，降低企业的运营成本；律所在当地设有办公场所，意味着可以更好地利用当地的法律资源、人脉关系和专业网络，为企业提供更全面和高效的法律服务）；</w:t>
      </w:r>
    </w:p>
    <w:p w14:paraId="6579711C">
      <w:pPr>
        <w:pStyle w:val="5"/>
        <w:numPr>
          <w:ilvl w:val="0"/>
          <w:numId w:val="0"/>
        </w:numPr>
        <w:ind w:left="0" w:leftChars="0" w:firstLine="482"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3.供应商执业律师应当在20名以上，其中执业满5年的律师不得少于5名</w:t>
      </w:r>
      <w:r>
        <w:rPr>
          <w:rFonts w:hint="eastAsia" w:ascii="仿宋" w:hAnsi="仿宋" w:eastAsia="仿宋" w:cs="仿宋"/>
          <w:b w:val="0"/>
          <w:bCs w:val="0"/>
          <w:color w:val="000000"/>
          <w:kern w:val="0"/>
          <w:sz w:val="24"/>
          <w:szCs w:val="24"/>
          <w:lang w:val="en-US" w:eastAsia="zh-CN" w:bidi="ar-SA"/>
        </w:rPr>
        <w:t>（理由：执业满5年以上的律师通常具备更为丰富的法律实践经验，能够更好地处理复杂的法律问题，提供高质量的法律服务；拥有20名以上律师的团队可以在不同领域提供专业支持，确保在各种法律事务中都有专家参与，提高法律服务的全面性和深度；较大的律师团队意味着在需要时可以迅速调动资源，处理紧急或大规模的法律事务，确保企业的需求得到及时满足；较大的律师团队通常有更好的管理和培训机制，能够提供持续稳定的法律服务，减少因人员变动带来的影响；规模较大的律师事务所通常在行业内有较高的信誉和知名度，能够增强客户的信任感，提升合作的信心。通过这些措施，可以确保法律顾问团队具备足够的专业能力和资源，为企业提供高效、优质的法律服务）；</w:t>
      </w:r>
    </w:p>
    <w:p w14:paraId="3752A942">
      <w:pPr>
        <w:pStyle w:val="5"/>
        <w:numPr>
          <w:ilvl w:val="0"/>
          <w:numId w:val="0"/>
        </w:numPr>
        <w:ind w:left="0" w:leftChars="0" w:firstLine="482"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4.供应商应具有良好的商业信誉和健全的财务会计制度</w:t>
      </w:r>
      <w:r>
        <w:rPr>
          <w:rFonts w:hint="eastAsia" w:ascii="仿宋" w:hAnsi="仿宋" w:eastAsia="仿宋" w:cs="仿宋"/>
          <w:b w:val="0"/>
          <w:bCs w:val="0"/>
          <w:color w:val="000000"/>
          <w:kern w:val="0"/>
          <w:sz w:val="24"/>
          <w:szCs w:val="24"/>
          <w:lang w:val="en-US" w:eastAsia="zh-CN" w:bidi="ar-SA"/>
        </w:rPr>
        <w:t>（理由：良好的商业信誉通常意味着律师事务所在业内有较高的声誉和客户满意度，这可以作为其服务质量的保证；健全的财务会计制度表明律师事务所的管理规范，财务状况稳定，能够持续提供法律服务，降低了因事务所经营问题导致服务中断的风险；商业信誉和财务透明度是建立客户信任的重要因素。企业可以更放心地与这样的律师事务所合作，减少因信息不对称带来的不确定性；健全的财务会计制度通常伴随着良好的内部管理和运营效率，这可以确保法律顾问服务的及时性和专业性；具有良好商业信誉和健全财务会计制度的律师事务所通常更注重法律合规，能够更好地为客户提供合法、合规的法律服务）；</w:t>
      </w:r>
    </w:p>
    <w:p w14:paraId="3D0B47F3">
      <w:pPr>
        <w:pStyle w:val="5"/>
        <w:numPr>
          <w:ilvl w:val="0"/>
          <w:numId w:val="0"/>
        </w:numPr>
        <w:ind w:left="0" w:leftChars="0" w:firstLine="482" w:firstLineChars="200"/>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5.供应商不得存在以下情形：</w:t>
      </w:r>
    </w:p>
    <w:p w14:paraId="166E9D74">
      <w:pPr>
        <w:pStyle w:val="5"/>
        <w:numPr>
          <w:ilvl w:val="0"/>
          <w:numId w:val="0"/>
        </w:numPr>
        <w:ind w:left="0" w:leftChars="0" w:firstLine="482" w:firstLineChars="200"/>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①尚欠缴应纳税款或者社会保险费的；</w:t>
      </w:r>
    </w:p>
    <w:p w14:paraId="31C7C065">
      <w:pPr>
        <w:pStyle w:val="5"/>
        <w:numPr>
          <w:ilvl w:val="0"/>
          <w:numId w:val="0"/>
        </w:numPr>
        <w:ind w:left="0" w:leftChars="0" w:firstLine="482" w:firstLineChars="200"/>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②因违法行为，被依法限制或者禁止参加采购活动的；</w:t>
      </w:r>
    </w:p>
    <w:p w14:paraId="2B880DA9">
      <w:pPr>
        <w:pStyle w:val="5"/>
        <w:numPr>
          <w:ilvl w:val="0"/>
          <w:numId w:val="0"/>
        </w:numPr>
        <w:ind w:left="0" w:leftChars="0" w:firstLine="482" w:firstLineChars="200"/>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③参加采购活动前三年内，在经营活动中存在重大违法记录的。</w:t>
      </w:r>
    </w:p>
    <w:p w14:paraId="43647E18">
      <w:pPr>
        <w:pStyle w:val="5"/>
        <w:numPr>
          <w:ilvl w:val="0"/>
          <w:numId w:val="0"/>
        </w:numPr>
        <w:ind w:left="0" w:leftChars="0"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理由：选择合规的律所可以确保法律顾问在提供服务时不会因为自身的法律问题而影响到客户的合法权益；避免与有违法记录的律所合作，可以降低潜在的法律和财务风险，确保法律顾问能够专注于客户的需求，而不是处理自身的法律问题；与合规的律所合作，可以提升企业的信誉和形象，显示企业在选择合作伙伴时注重合法合规，增强客户和合作伙伴的信任；合规的律所通常有更严格的内部管理和更高的服务标准，能够提供更专业和可靠的法律服务。通过这些措施，可以确保企业在法律事务上得到专业、可靠和合法的支持，进一步保障企业的合法权益）</w:t>
      </w:r>
    </w:p>
    <w:p w14:paraId="08BD2192">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二、资料要求</w:t>
      </w:r>
    </w:p>
    <w:p w14:paraId="4EDE8157">
      <w:pPr>
        <w:ind w:firstLine="480" w:firstLineChars="200"/>
        <w:rPr>
          <w:rFonts w:hint="eastAsia" w:ascii="仿宋" w:hAnsi="仿宋" w:eastAsia="仿宋" w:cs="仿宋"/>
          <w:sz w:val="24"/>
          <w:szCs w:val="24"/>
          <w:highlight w:val="none"/>
          <w:u w:val="none"/>
          <w:lang w:val="en-US" w:eastAsia="zh-CN"/>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highlight w:val="none"/>
          <w:u w:val="none"/>
        </w:rPr>
        <w:t>提供合法有效的律师事务所执业许可证的复印件</w:t>
      </w:r>
      <w:r>
        <w:rPr>
          <w:rFonts w:hint="eastAsia" w:ascii="仿宋" w:hAnsi="仿宋" w:eastAsia="仿宋" w:cs="仿宋"/>
          <w:sz w:val="24"/>
          <w:szCs w:val="24"/>
          <w:highlight w:val="none"/>
          <w:u w:val="none"/>
          <w:lang w:eastAsia="zh-CN"/>
        </w:rPr>
        <w:t>及</w:t>
      </w:r>
      <w:r>
        <w:rPr>
          <w:rFonts w:hint="eastAsia" w:ascii="仿宋" w:hAnsi="仿宋" w:eastAsia="仿宋" w:cs="仿宋"/>
          <w:b w:val="0"/>
          <w:bCs w:val="0"/>
          <w:color w:val="000000"/>
          <w:kern w:val="0"/>
          <w:sz w:val="24"/>
          <w:szCs w:val="24"/>
          <w:lang w:val="en-US" w:eastAsia="zh-CN" w:bidi="ar-SA"/>
        </w:rPr>
        <w:t>负责人身份证复印件</w:t>
      </w:r>
      <w:r>
        <w:rPr>
          <w:rFonts w:hint="eastAsia" w:ascii="仿宋" w:hAnsi="仿宋" w:eastAsia="仿宋" w:cs="仿宋"/>
          <w:sz w:val="24"/>
          <w:szCs w:val="24"/>
          <w:highlight w:val="none"/>
          <w:u w:val="none"/>
        </w:rPr>
        <w:t>并加盖</w:t>
      </w:r>
      <w:r>
        <w:rPr>
          <w:rFonts w:hint="eastAsia" w:ascii="仿宋" w:hAnsi="仿宋" w:eastAsia="仿宋" w:cs="仿宋"/>
          <w:sz w:val="24"/>
          <w:szCs w:val="24"/>
          <w:highlight w:val="none"/>
          <w:u w:val="none"/>
          <w:lang w:eastAsia="zh-CN"/>
        </w:rPr>
        <w:t>律师事务所</w:t>
      </w:r>
      <w:r>
        <w:rPr>
          <w:rFonts w:hint="eastAsia" w:ascii="仿宋" w:hAnsi="仿宋" w:eastAsia="仿宋" w:cs="仿宋"/>
          <w:sz w:val="24"/>
          <w:szCs w:val="24"/>
          <w:highlight w:val="none"/>
          <w:u w:val="none"/>
        </w:rPr>
        <w:t>公章</w:t>
      </w:r>
      <w:r>
        <w:rPr>
          <w:rFonts w:hint="eastAsia" w:ascii="仿宋" w:hAnsi="仿宋" w:eastAsia="仿宋" w:cs="仿宋"/>
          <w:sz w:val="24"/>
          <w:szCs w:val="24"/>
          <w:highlight w:val="none"/>
          <w:u w:val="none"/>
          <w:lang w:val="en-US" w:eastAsia="zh-CN"/>
        </w:rPr>
        <w:t>；</w:t>
      </w:r>
    </w:p>
    <w:p w14:paraId="5AFB9230">
      <w:pPr>
        <w:ind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sz w:val="24"/>
          <w:szCs w:val="24"/>
          <w:highlight w:val="none"/>
          <w:u w:val="none"/>
          <w:lang w:val="en-US" w:eastAsia="zh-CN"/>
        </w:rPr>
        <w:t>2.</w:t>
      </w:r>
      <w:r>
        <w:rPr>
          <w:rFonts w:hint="eastAsia" w:ascii="仿宋" w:hAnsi="仿宋" w:eastAsia="仿宋" w:cs="仿宋"/>
          <w:b w:val="0"/>
          <w:bCs w:val="0"/>
          <w:color w:val="000000"/>
          <w:kern w:val="0"/>
          <w:sz w:val="24"/>
          <w:szCs w:val="24"/>
          <w:lang w:val="en-US" w:eastAsia="zh-CN" w:bidi="ar-SA"/>
        </w:rPr>
        <w:t>负责人不能参加现场磋商的，提供负责人授权委托书及受托人身份证复印件；</w:t>
      </w:r>
    </w:p>
    <w:p w14:paraId="0F9B5F47">
      <w:pPr>
        <w:ind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3.提供不少于20名执业律师统计表（需注明执业律师姓名、政治面貌、执业证号、执业年限、联系电话）并附对应的律师执业证复印件；</w:t>
      </w:r>
    </w:p>
    <w:p w14:paraId="032F6AC3">
      <w:pPr>
        <w:ind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4.需提供在服务地设有固定办公场所证明资料，如租赁合同、商品房买卖合同、房产证等复印件；</w:t>
      </w:r>
    </w:p>
    <w:p w14:paraId="1074613C">
      <w:pPr>
        <w:ind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5.供应商成功案例目录并附相应法律服务合同、法律文书、裁判文书等；</w:t>
      </w:r>
    </w:p>
    <w:p w14:paraId="57FA92D1">
      <w:pPr>
        <w:ind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6.供应商依法缴纳税收的近三年完税凭证证明材料；</w:t>
      </w:r>
    </w:p>
    <w:p w14:paraId="43BF1B9E">
      <w:pPr>
        <w:ind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7.供应商自行承诺：①承诺未被列入“信用中国”网站失信被执行人、重大税收违法失信主体、政府采购严重违法失信行为记录名单，未被列入“中国政府采购网”政府采购严重违法失信行为记录名单；②参加本次磋商前3年，在经营活动中没有重大违法、不良、失信记录的书面承诺；③服务及保密承诺；</w:t>
      </w:r>
    </w:p>
    <w:p w14:paraId="01629CF4">
      <w:pPr>
        <w:ind w:firstLine="480" w:firstLineChars="200"/>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8.供应商自制法律服务方案，包括常年法律顾问服务及专项法律服务；</w:t>
      </w:r>
    </w:p>
    <w:p w14:paraId="26EFE8BC">
      <w:pPr>
        <w:ind w:firstLine="480" w:firstLineChars="200"/>
        <w:rPr>
          <w:rFonts w:hint="eastAsia" w:ascii="仿宋" w:hAnsi="仿宋" w:eastAsia="仿宋" w:cs="仿宋"/>
          <w:b/>
          <w:bCs/>
          <w:sz w:val="24"/>
          <w:szCs w:val="24"/>
          <w:lang w:eastAsia="zh-CN"/>
        </w:rPr>
      </w:pPr>
      <w:r>
        <w:rPr>
          <w:rFonts w:hint="eastAsia" w:ascii="仿宋" w:hAnsi="仿宋" w:eastAsia="仿宋" w:cs="仿宋"/>
          <w:b w:val="0"/>
          <w:bCs w:val="0"/>
          <w:color w:val="000000"/>
          <w:kern w:val="0"/>
          <w:sz w:val="24"/>
          <w:szCs w:val="24"/>
          <w:lang w:val="en-US" w:eastAsia="zh-CN" w:bidi="ar-SA"/>
        </w:rPr>
        <w:t>9.供应商认为有必要的其他文件资料。</w:t>
      </w:r>
    </w:p>
    <w:p w14:paraId="212188BE">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三、</w:t>
      </w:r>
      <w:r>
        <w:rPr>
          <w:rFonts w:hint="eastAsia" w:ascii="黑体" w:hAnsi="黑体" w:eastAsia="黑体" w:cs="黑体"/>
          <w:b w:val="0"/>
          <w:bCs w:val="0"/>
          <w:sz w:val="24"/>
          <w:szCs w:val="24"/>
          <w:lang w:eastAsia="zh-CN"/>
        </w:rPr>
        <w:t>综合评分标准</w:t>
      </w:r>
    </w:p>
    <w:p w14:paraId="70BA48F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评分的主要因素分为</w:t>
      </w:r>
      <w:r>
        <w:rPr>
          <w:rFonts w:hint="eastAsia" w:ascii="仿宋" w:hAnsi="仿宋" w:eastAsia="仿宋" w:cs="仿宋"/>
          <w:b/>
          <w:bCs/>
          <w:sz w:val="24"/>
          <w:szCs w:val="24"/>
          <w:lang w:val="en-US" w:eastAsia="zh-CN"/>
        </w:rPr>
        <w:t>法律服务方案30分</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价格</w:t>
      </w:r>
      <w:r>
        <w:rPr>
          <w:rFonts w:hint="eastAsia" w:ascii="仿宋" w:hAnsi="仿宋" w:eastAsia="仿宋" w:cs="仿宋"/>
          <w:b/>
          <w:bCs/>
          <w:sz w:val="24"/>
          <w:szCs w:val="24"/>
        </w:rPr>
        <w:t>因素</w:t>
      </w:r>
      <w:r>
        <w:rPr>
          <w:rFonts w:hint="eastAsia" w:ascii="仿宋" w:hAnsi="仿宋" w:eastAsia="仿宋" w:cs="仿宋"/>
          <w:b/>
          <w:bCs/>
          <w:sz w:val="24"/>
          <w:szCs w:val="24"/>
          <w:lang w:val="en-US" w:eastAsia="zh-CN"/>
        </w:rPr>
        <w:t>20分和专业因素50分</w:t>
      </w:r>
      <w:r>
        <w:rPr>
          <w:rFonts w:hint="eastAsia" w:ascii="仿宋" w:hAnsi="仿宋" w:eastAsia="仿宋" w:cs="仿宋"/>
          <w:sz w:val="24"/>
          <w:szCs w:val="24"/>
        </w:rPr>
        <w:t>（</w:t>
      </w:r>
      <w:r>
        <w:rPr>
          <w:rFonts w:hint="eastAsia" w:ascii="仿宋" w:hAnsi="仿宋" w:eastAsia="仿宋" w:cs="仿宋"/>
          <w:sz w:val="24"/>
          <w:szCs w:val="24"/>
          <w:lang w:eastAsia="zh-CN"/>
        </w:rPr>
        <w:t>理由：1.突出专业性的重要性：将专业因素设置为最高权重50分，充分体现了对法律顾问专业能力和专业知识的重视。法律顾问的核心价值在于其专业性和对法律问题的深刻理解，因此这样的权重分配能够确保选聘到具备高度专业素养的人才；2.平衡法律服务方案与成本：法律服务方案虽然重要，但过高的权重可能导致过于追求方案的完备性而忽视成本效益。设置30分的权重，既保证了法律服务方案的充分考量，又避免了过分倾斜。同时，价格因素虽然不是首要考虑，但20分的权重也确保了成本的合理控制，避免了高价低质的风险；3.引导法律顾问提供优质服务：这样的评分制度可以引导法律顾问在提供专业服务的同时，也注重服务方案的实用性和价格合理性。法律顾问需要在各个方面都表现出色，才能获得较高的总体评分，这有助于提升整体服务质量；4.便于比较和选择：通过明确的评分标准和权重分配，可以更容易地对不同的法律顾问进行比较和选择。评分制度使得评价过程更加客观和透明，减少了主观因素的影响，有助于选出最适合的法律顾问；5.促进持续改进：评分制度可以作为一个反馈机制，帮助法律顾问了解自己在各方面的优势和不足，从而有针对性地改进和提升。通过不断的优化和提升，法律顾问的专业水平和服务质量将得到进一步提高</w:t>
      </w:r>
      <w:r>
        <w:rPr>
          <w:rFonts w:hint="eastAsia" w:ascii="仿宋" w:hAnsi="仿宋" w:eastAsia="仿宋" w:cs="仿宋"/>
          <w:sz w:val="24"/>
          <w:szCs w:val="24"/>
        </w:rPr>
        <w:t>）。</w:t>
      </w:r>
      <w:r>
        <w:rPr>
          <w:rFonts w:hint="eastAsia" w:ascii="仿宋" w:hAnsi="仿宋" w:eastAsia="仿宋" w:cs="仿宋"/>
          <w:b/>
          <w:bCs/>
          <w:sz w:val="24"/>
          <w:szCs w:val="24"/>
        </w:rPr>
        <w:t>评</w:t>
      </w:r>
      <w:r>
        <w:rPr>
          <w:rFonts w:hint="eastAsia" w:ascii="仿宋" w:hAnsi="仿宋" w:eastAsia="仿宋" w:cs="仿宋"/>
          <w:b/>
          <w:bCs/>
          <w:sz w:val="24"/>
          <w:szCs w:val="24"/>
          <w:lang w:eastAsia="zh-CN"/>
        </w:rPr>
        <w:t>价</w:t>
      </w:r>
      <w:r>
        <w:rPr>
          <w:rFonts w:hint="eastAsia" w:ascii="仿宋" w:hAnsi="仿宋" w:eastAsia="仿宋" w:cs="仿宋"/>
          <w:b/>
          <w:bCs/>
          <w:sz w:val="24"/>
          <w:szCs w:val="24"/>
        </w:rPr>
        <w:t>分值取评审专家评分平均值，保留至两位小数。评</w:t>
      </w:r>
      <w:r>
        <w:rPr>
          <w:rFonts w:hint="eastAsia" w:ascii="仿宋" w:hAnsi="仿宋" w:eastAsia="仿宋" w:cs="仿宋"/>
          <w:b/>
          <w:bCs/>
          <w:sz w:val="24"/>
          <w:szCs w:val="24"/>
          <w:lang w:eastAsia="zh-CN"/>
        </w:rPr>
        <w:t>分</w:t>
      </w:r>
      <w:r>
        <w:rPr>
          <w:rFonts w:hint="eastAsia" w:ascii="仿宋" w:hAnsi="仿宋" w:eastAsia="仿宋" w:cs="仿宋"/>
          <w:b/>
          <w:bCs/>
          <w:sz w:val="24"/>
          <w:szCs w:val="24"/>
        </w:rPr>
        <w:t>时，评</w:t>
      </w:r>
      <w:r>
        <w:rPr>
          <w:rFonts w:hint="eastAsia" w:ascii="仿宋" w:hAnsi="仿宋" w:eastAsia="仿宋" w:cs="仿宋"/>
          <w:b/>
          <w:bCs/>
          <w:sz w:val="24"/>
          <w:szCs w:val="24"/>
          <w:lang w:eastAsia="zh-CN"/>
        </w:rPr>
        <w:t>分</w:t>
      </w:r>
      <w:r>
        <w:rPr>
          <w:rFonts w:hint="eastAsia" w:ascii="仿宋" w:hAnsi="仿宋" w:eastAsia="仿宋" w:cs="仿宋"/>
          <w:b/>
          <w:bCs/>
          <w:sz w:val="24"/>
          <w:szCs w:val="24"/>
        </w:rPr>
        <w:t>专家依照评分表对每个有效供应商的</w:t>
      </w:r>
      <w:r>
        <w:rPr>
          <w:rFonts w:hint="eastAsia" w:ascii="仿宋" w:hAnsi="仿宋" w:eastAsia="仿宋" w:cs="仿宋"/>
          <w:b/>
          <w:bCs/>
          <w:sz w:val="24"/>
          <w:szCs w:val="24"/>
          <w:lang w:eastAsia="zh-CN"/>
        </w:rPr>
        <w:t>提供</w:t>
      </w:r>
      <w:r>
        <w:rPr>
          <w:rFonts w:hint="eastAsia" w:ascii="仿宋" w:hAnsi="仿宋" w:eastAsia="仿宋" w:cs="仿宋"/>
          <w:b/>
          <w:bCs/>
          <w:sz w:val="24"/>
          <w:szCs w:val="24"/>
        </w:rPr>
        <w:t>文件进行独立评审、打分。</w:t>
      </w:r>
    </w:p>
    <w:p w14:paraId="7F622BE4">
      <w:pPr>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u w:val="single"/>
          <w:lang w:val="en-US" w:eastAsia="zh-CN"/>
        </w:rPr>
        <w:t>1.法律服务方案：30分</w:t>
      </w:r>
    </w:p>
    <w:p w14:paraId="44FFA12A">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分值设计原则：根据服务内容的重要性、难度和复杂性进行分值分配，综合考虑服务方案的合理性、可行性和服务体系的完善性，确保分值能够全面评价候选人的综合能力。</w:t>
      </w:r>
    </w:p>
    <w:p w14:paraId="7A4A0F86">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1.1法律服务内容（共20分）</w:t>
      </w:r>
    </w:p>
    <w:p w14:paraId="5EC4F421">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A、服务内容（10分）</w:t>
      </w:r>
    </w:p>
    <w:p w14:paraId="64BB643D">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根据需要选择，如：</w:t>
      </w:r>
    </w:p>
    <w:p w14:paraId="3EBD8D7F">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法律咨询服务</w:t>
      </w:r>
      <w:r>
        <w:rPr>
          <w:rFonts w:hint="eastAsia" w:ascii="仿宋" w:hAnsi="仿宋" w:eastAsia="仿宋" w:cs="仿宋"/>
          <w:sz w:val="24"/>
          <w:szCs w:val="24"/>
          <w:lang w:eastAsia="zh-CN"/>
        </w:rPr>
        <w:t>：</w:t>
      </w:r>
      <w:r>
        <w:rPr>
          <w:rFonts w:hint="eastAsia" w:ascii="仿宋" w:hAnsi="仿宋" w:eastAsia="仿宋" w:cs="仿宋"/>
          <w:sz w:val="24"/>
          <w:szCs w:val="24"/>
        </w:rPr>
        <w:t>提供日常法律咨询，解答法律问题</w:t>
      </w:r>
      <w:r>
        <w:rPr>
          <w:rFonts w:hint="eastAsia" w:ascii="仿宋" w:hAnsi="仿宋" w:eastAsia="仿宋" w:cs="仿宋"/>
          <w:sz w:val="24"/>
          <w:szCs w:val="24"/>
          <w:lang w:eastAsia="zh-CN"/>
        </w:rPr>
        <w:t>，</w:t>
      </w:r>
      <w:r>
        <w:rPr>
          <w:rFonts w:hint="eastAsia" w:ascii="仿宋" w:hAnsi="仿宋" w:eastAsia="仿宋" w:cs="仿宋"/>
          <w:sz w:val="24"/>
          <w:szCs w:val="24"/>
        </w:rPr>
        <w:t>参与公司重大决策的法律论证</w:t>
      </w:r>
      <w:r>
        <w:rPr>
          <w:rFonts w:hint="eastAsia" w:ascii="仿宋" w:hAnsi="仿宋" w:eastAsia="仿宋" w:cs="仿宋"/>
          <w:sz w:val="24"/>
          <w:szCs w:val="24"/>
          <w:lang w:eastAsia="zh-CN"/>
        </w:rPr>
        <w:t>；</w:t>
      </w:r>
    </w:p>
    <w:p w14:paraId="1223EF5E">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合同管理</w:t>
      </w:r>
      <w:r>
        <w:rPr>
          <w:rFonts w:hint="eastAsia" w:ascii="仿宋" w:hAnsi="仿宋" w:eastAsia="仿宋" w:cs="仿宋"/>
          <w:sz w:val="24"/>
          <w:szCs w:val="24"/>
          <w:lang w:eastAsia="zh-CN"/>
        </w:rPr>
        <w:t>：</w:t>
      </w:r>
      <w:r>
        <w:rPr>
          <w:rFonts w:hint="eastAsia" w:ascii="仿宋" w:hAnsi="仿宋" w:eastAsia="仿宋" w:cs="仿宋"/>
          <w:sz w:val="24"/>
          <w:szCs w:val="24"/>
        </w:rPr>
        <w:t>起草、审查和修改各类合同</w:t>
      </w:r>
      <w:r>
        <w:rPr>
          <w:rFonts w:hint="eastAsia" w:ascii="仿宋" w:hAnsi="仿宋" w:eastAsia="仿宋" w:cs="仿宋"/>
          <w:sz w:val="24"/>
          <w:szCs w:val="24"/>
          <w:lang w:eastAsia="zh-CN"/>
        </w:rPr>
        <w:t>，</w:t>
      </w:r>
      <w:r>
        <w:rPr>
          <w:rFonts w:hint="eastAsia" w:ascii="仿宋" w:hAnsi="仿宋" w:eastAsia="仿宋" w:cs="仿宋"/>
          <w:sz w:val="24"/>
          <w:szCs w:val="24"/>
        </w:rPr>
        <w:t>参与合同谈判，提供法律意见</w:t>
      </w:r>
      <w:r>
        <w:rPr>
          <w:rFonts w:hint="eastAsia" w:ascii="仿宋" w:hAnsi="仿宋" w:eastAsia="仿宋" w:cs="仿宋"/>
          <w:sz w:val="24"/>
          <w:szCs w:val="24"/>
          <w:lang w:eastAsia="zh-CN"/>
        </w:rPr>
        <w:t>；</w:t>
      </w:r>
    </w:p>
    <w:p w14:paraId="709ABEE7">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法律风险管理</w:t>
      </w:r>
      <w:r>
        <w:rPr>
          <w:rFonts w:hint="eastAsia" w:ascii="仿宋" w:hAnsi="仿宋" w:eastAsia="仿宋" w:cs="仿宋"/>
          <w:sz w:val="24"/>
          <w:szCs w:val="24"/>
          <w:lang w:eastAsia="zh-CN"/>
        </w:rPr>
        <w:t>：</w:t>
      </w:r>
      <w:r>
        <w:rPr>
          <w:rFonts w:hint="eastAsia" w:ascii="仿宋" w:hAnsi="仿宋" w:eastAsia="仿宋" w:cs="仿宋"/>
          <w:sz w:val="24"/>
          <w:szCs w:val="24"/>
        </w:rPr>
        <w:t>识别和评估法律风险，提出防范措施</w:t>
      </w:r>
      <w:r>
        <w:rPr>
          <w:rFonts w:hint="eastAsia" w:ascii="仿宋" w:hAnsi="仿宋" w:eastAsia="仿宋" w:cs="仿宋"/>
          <w:sz w:val="24"/>
          <w:szCs w:val="24"/>
          <w:lang w:eastAsia="zh-CN"/>
        </w:rPr>
        <w:t>，</w:t>
      </w:r>
      <w:r>
        <w:rPr>
          <w:rFonts w:hint="eastAsia" w:ascii="仿宋" w:hAnsi="仿宋" w:eastAsia="仿宋" w:cs="仿宋"/>
          <w:sz w:val="24"/>
          <w:szCs w:val="24"/>
        </w:rPr>
        <w:t>制定和完善公司法律风险管理制度</w:t>
      </w:r>
      <w:r>
        <w:rPr>
          <w:rFonts w:hint="eastAsia" w:ascii="仿宋" w:hAnsi="仿宋" w:eastAsia="仿宋" w:cs="仿宋"/>
          <w:sz w:val="24"/>
          <w:szCs w:val="24"/>
          <w:lang w:eastAsia="zh-CN"/>
        </w:rPr>
        <w:t>；</w:t>
      </w:r>
    </w:p>
    <w:p w14:paraId="5F668D59">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合规管理</w:t>
      </w:r>
      <w:r>
        <w:rPr>
          <w:rFonts w:hint="eastAsia" w:ascii="仿宋" w:hAnsi="仿宋" w:eastAsia="仿宋" w:cs="仿宋"/>
          <w:sz w:val="24"/>
          <w:szCs w:val="24"/>
          <w:lang w:eastAsia="zh-CN"/>
        </w:rPr>
        <w:t>：</w:t>
      </w:r>
      <w:r>
        <w:rPr>
          <w:rFonts w:hint="eastAsia" w:ascii="仿宋" w:hAnsi="仿宋" w:eastAsia="仿宋" w:cs="仿宋"/>
          <w:sz w:val="24"/>
          <w:szCs w:val="24"/>
        </w:rPr>
        <w:t>确保公司运营符合相关法律法规</w:t>
      </w:r>
      <w:r>
        <w:rPr>
          <w:rFonts w:hint="eastAsia" w:ascii="仿宋" w:hAnsi="仿宋" w:eastAsia="仿宋" w:cs="仿宋"/>
          <w:sz w:val="24"/>
          <w:szCs w:val="24"/>
          <w:lang w:eastAsia="zh-CN"/>
        </w:rPr>
        <w:t>，</w:t>
      </w:r>
      <w:r>
        <w:rPr>
          <w:rFonts w:hint="eastAsia" w:ascii="仿宋" w:hAnsi="仿宋" w:eastAsia="仿宋" w:cs="仿宋"/>
          <w:sz w:val="24"/>
          <w:szCs w:val="24"/>
        </w:rPr>
        <w:t>制定和实施合规政策和程序</w:t>
      </w:r>
      <w:r>
        <w:rPr>
          <w:rFonts w:hint="eastAsia" w:ascii="仿宋" w:hAnsi="仿宋" w:eastAsia="仿宋" w:cs="仿宋"/>
          <w:sz w:val="24"/>
          <w:szCs w:val="24"/>
          <w:lang w:eastAsia="zh-CN"/>
        </w:rPr>
        <w:t>；</w:t>
      </w:r>
    </w:p>
    <w:p w14:paraId="14F17FCC">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培训与宣传</w:t>
      </w:r>
      <w:r>
        <w:rPr>
          <w:rFonts w:hint="eastAsia" w:ascii="仿宋" w:hAnsi="仿宋" w:eastAsia="仿宋" w:cs="仿宋"/>
          <w:sz w:val="24"/>
          <w:szCs w:val="24"/>
          <w:lang w:eastAsia="zh-CN"/>
        </w:rPr>
        <w:t>：</w:t>
      </w:r>
      <w:r>
        <w:rPr>
          <w:rFonts w:hint="eastAsia" w:ascii="仿宋" w:hAnsi="仿宋" w:eastAsia="仿宋" w:cs="仿宋"/>
          <w:sz w:val="24"/>
          <w:szCs w:val="24"/>
        </w:rPr>
        <w:t>为公司员工提供法律培训</w:t>
      </w:r>
      <w:r>
        <w:rPr>
          <w:rFonts w:hint="eastAsia" w:ascii="仿宋" w:hAnsi="仿宋" w:eastAsia="仿宋" w:cs="仿宋"/>
          <w:sz w:val="24"/>
          <w:szCs w:val="24"/>
          <w:lang w:eastAsia="zh-CN"/>
        </w:rPr>
        <w:t>，</w:t>
      </w:r>
      <w:r>
        <w:rPr>
          <w:rFonts w:hint="eastAsia" w:ascii="仿宋" w:hAnsi="仿宋" w:eastAsia="仿宋" w:cs="仿宋"/>
          <w:sz w:val="24"/>
          <w:szCs w:val="24"/>
        </w:rPr>
        <w:t>宣传法律知识，提高员工法律意识</w:t>
      </w:r>
      <w:r>
        <w:rPr>
          <w:rFonts w:hint="eastAsia" w:ascii="仿宋" w:hAnsi="仿宋" w:eastAsia="仿宋" w:cs="仿宋"/>
          <w:sz w:val="24"/>
          <w:szCs w:val="24"/>
          <w:lang w:eastAsia="zh-CN"/>
        </w:rPr>
        <w:t>，推动公司法治文化建设；</w:t>
      </w:r>
    </w:p>
    <w:p w14:paraId="43EA4A6A">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劳动人事纠纷处理：协助处理员工劳动纠纷、劳动仲裁等事宜</w:t>
      </w:r>
      <w:r>
        <w:rPr>
          <w:rFonts w:hint="eastAsia" w:ascii="仿宋" w:hAnsi="仿宋" w:eastAsia="仿宋" w:cs="仿宋"/>
          <w:sz w:val="24"/>
          <w:szCs w:val="24"/>
          <w:lang w:eastAsia="zh-CN"/>
        </w:rPr>
        <w:t>；</w:t>
      </w:r>
    </w:p>
    <w:p w14:paraId="66FE752D">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争议解决</w:t>
      </w:r>
      <w:r>
        <w:rPr>
          <w:rFonts w:hint="eastAsia" w:ascii="仿宋" w:hAnsi="仿宋" w:eastAsia="仿宋" w:cs="仿宋"/>
          <w:sz w:val="24"/>
          <w:szCs w:val="24"/>
          <w:lang w:eastAsia="zh-CN"/>
        </w:rPr>
        <w:t>：</w:t>
      </w:r>
      <w:r>
        <w:rPr>
          <w:rFonts w:hint="eastAsia" w:ascii="仿宋" w:hAnsi="仿宋" w:eastAsia="仿宋" w:cs="仿宋"/>
          <w:sz w:val="24"/>
          <w:szCs w:val="24"/>
        </w:rPr>
        <w:t>处理公司内部和外部的法律纠纷</w:t>
      </w:r>
      <w:r>
        <w:rPr>
          <w:rFonts w:hint="eastAsia" w:ascii="仿宋" w:hAnsi="仿宋" w:eastAsia="仿宋" w:cs="仿宋"/>
          <w:sz w:val="24"/>
          <w:szCs w:val="24"/>
          <w:lang w:eastAsia="zh-CN"/>
        </w:rPr>
        <w:t>，</w:t>
      </w:r>
      <w:r>
        <w:rPr>
          <w:rFonts w:hint="eastAsia" w:ascii="仿宋" w:hAnsi="仿宋" w:eastAsia="仿宋" w:cs="仿宋"/>
          <w:sz w:val="24"/>
          <w:szCs w:val="24"/>
        </w:rPr>
        <w:t>代表公司参与诉讼、仲裁和调解</w:t>
      </w:r>
      <w:r>
        <w:rPr>
          <w:rFonts w:hint="eastAsia" w:ascii="仿宋" w:hAnsi="仿宋" w:eastAsia="仿宋" w:cs="仿宋"/>
          <w:sz w:val="24"/>
          <w:szCs w:val="24"/>
          <w:lang w:eastAsia="zh-CN"/>
        </w:rPr>
        <w:t>；</w:t>
      </w:r>
    </w:p>
    <w:p w14:paraId="11F1C45D">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专项法律服务</w:t>
      </w:r>
      <w:r>
        <w:rPr>
          <w:rFonts w:hint="eastAsia" w:ascii="仿宋" w:hAnsi="仿宋" w:eastAsia="仿宋" w:cs="仿宋"/>
          <w:sz w:val="24"/>
          <w:szCs w:val="24"/>
          <w:lang w:eastAsia="zh-CN"/>
        </w:rPr>
        <w:t>：</w:t>
      </w:r>
      <w:r>
        <w:rPr>
          <w:rFonts w:hint="eastAsia" w:ascii="仿宋" w:hAnsi="仿宋" w:eastAsia="仿宋" w:cs="仿宋"/>
          <w:sz w:val="24"/>
          <w:szCs w:val="24"/>
        </w:rPr>
        <w:t>根据公司需求提供专项法律服务，如知识产权保护</w:t>
      </w:r>
      <w:r>
        <w:rPr>
          <w:rFonts w:hint="eastAsia" w:ascii="仿宋" w:hAnsi="仿宋" w:eastAsia="仿宋" w:cs="仿宋"/>
          <w:sz w:val="24"/>
          <w:szCs w:val="24"/>
          <w:lang w:eastAsia="zh-CN"/>
        </w:rPr>
        <w:t>与维护</w:t>
      </w:r>
      <w:r>
        <w:rPr>
          <w:rFonts w:hint="eastAsia" w:ascii="仿宋" w:hAnsi="仿宋" w:eastAsia="仿宋" w:cs="仿宋"/>
          <w:sz w:val="24"/>
          <w:szCs w:val="24"/>
        </w:rPr>
        <w:t>、</w:t>
      </w:r>
      <w:r>
        <w:rPr>
          <w:rFonts w:hint="eastAsia" w:ascii="仿宋" w:hAnsi="仿宋" w:eastAsia="仿宋" w:cs="仿宋"/>
          <w:sz w:val="24"/>
          <w:szCs w:val="24"/>
          <w:lang w:eastAsia="zh-CN"/>
        </w:rPr>
        <w:t>投资并购事务</w:t>
      </w:r>
      <w:r>
        <w:rPr>
          <w:rFonts w:hint="eastAsia" w:ascii="仿宋" w:hAnsi="仿宋" w:eastAsia="仿宋" w:cs="仿宋"/>
          <w:sz w:val="24"/>
          <w:szCs w:val="24"/>
        </w:rPr>
        <w:t>等</w:t>
      </w:r>
      <w:r>
        <w:rPr>
          <w:rFonts w:hint="eastAsia" w:ascii="仿宋" w:hAnsi="仿宋" w:eastAsia="仿宋" w:cs="仿宋"/>
          <w:sz w:val="24"/>
          <w:szCs w:val="24"/>
          <w:lang w:eastAsia="zh-CN"/>
        </w:rPr>
        <w:t>；</w:t>
      </w:r>
    </w:p>
    <w:p w14:paraId="0E357207">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法律策划、突发法律事件处理、出具法律意见书、对外发送律师函等。</w:t>
      </w:r>
    </w:p>
    <w:p w14:paraId="2A1FFE29">
      <w:pPr>
        <w:ind w:firstLine="482" w:firstLineChars="200"/>
        <w:rPr>
          <w:rFonts w:hint="eastAsia" w:ascii="仿宋" w:hAnsi="仿宋" w:eastAsia="仿宋" w:cs="仿宋"/>
          <w:b/>
          <w:bCs/>
          <w:sz w:val="24"/>
          <w:szCs w:val="24"/>
          <w:lang w:val="en-US" w:eastAsia="zh-CN"/>
        </w:rPr>
      </w:pPr>
    </w:p>
    <w:p w14:paraId="375CEED9">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B、服务内容是否有针对性、专业性(2分)</w:t>
      </w:r>
      <w:r>
        <w:rPr>
          <w:rFonts w:hint="eastAsia" w:ascii="仿宋" w:hAnsi="仿宋" w:eastAsia="仿宋" w:cs="仿宋"/>
          <w:sz w:val="24"/>
          <w:szCs w:val="24"/>
          <w:lang w:val="en-US" w:eastAsia="zh-CN"/>
        </w:rPr>
        <w:t>（评估方法：关于针对性：评估服务内容是否针对客户的具体需求和问题。例如，是否有专门针对某一特定行业或法律领域的服务；关于专业性：评估服务内容是否体现了律师事务所在该领域的专业知识和经验。可以通过查看律师事务所的过往案例、成功率、以及律师的资质和经验来判断。）</w:t>
      </w:r>
    </w:p>
    <w:p w14:paraId="66BB0C4C">
      <w:pPr>
        <w:ind w:firstLine="480" w:firstLineChars="200"/>
        <w:rPr>
          <w:rFonts w:hint="eastAsia" w:ascii="仿宋" w:hAnsi="仿宋" w:eastAsia="仿宋" w:cs="仿宋"/>
          <w:sz w:val="24"/>
          <w:szCs w:val="24"/>
          <w:lang w:val="en-US" w:eastAsia="zh-CN"/>
        </w:rPr>
      </w:pPr>
    </w:p>
    <w:p w14:paraId="039D644C">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C、服务方式是否有针对性、专业性(2分)</w:t>
      </w:r>
      <w:r>
        <w:rPr>
          <w:rFonts w:hint="eastAsia" w:ascii="仿宋" w:hAnsi="仿宋" w:eastAsia="仿宋" w:cs="仿宋"/>
          <w:sz w:val="24"/>
          <w:szCs w:val="24"/>
          <w:lang w:val="en-US" w:eastAsia="zh-CN"/>
        </w:rPr>
        <w:t>（评估方法：关于服务方式的针对性：评估服务方式是否能够有效解决客户的具体问题。例如，是否提供定制化的法律咨询、专项法律培训等；关于专业性：评估服务方式是否符合行业标准和最佳实践。例如，是否采用了最新的法律技术和工具，是否有系统化的流程和方法。）</w:t>
      </w:r>
    </w:p>
    <w:p w14:paraId="6F1A3F25">
      <w:pPr>
        <w:ind w:firstLine="482" w:firstLineChars="200"/>
        <w:rPr>
          <w:rFonts w:hint="eastAsia" w:ascii="仿宋" w:hAnsi="仿宋" w:eastAsia="仿宋" w:cs="仿宋"/>
          <w:b/>
          <w:bCs/>
          <w:sz w:val="24"/>
          <w:szCs w:val="24"/>
          <w:lang w:val="en-US" w:eastAsia="zh-CN"/>
        </w:rPr>
      </w:pPr>
    </w:p>
    <w:p w14:paraId="465245C0">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D、服务内容或服务方式便利性(2分)</w:t>
      </w:r>
      <w:r>
        <w:rPr>
          <w:rFonts w:hint="eastAsia" w:ascii="仿宋" w:hAnsi="仿宋" w:eastAsia="仿宋" w:cs="仿宋"/>
          <w:sz w:val="24"/>
          <w:szCs w:val="24"/>
          <w:lang w:val="en-US" w:eastAsia="zh-CN"/>
        </w:rPr>
        <w:t>（评估方法：评估服务内容和方式是否便于客户使用。例如，是否提供在线咨询、24/7的法律支持、便捷的文件管理系统等。还可以通过其他客户的反馈和满意度调查来评估服务的便利性。）</w:t>
      </w:r>
    </w:p>
    <w:p w14:paraId="5C5582B1">
      <w:pPr>
        <w:pStyle w:val="5"/>
        <w:ind w:firstLine="482" w:firstLineChars="200"/>
        <w:rPr>
          <w:rFonts w:hint="eastAsia" w:ascii="仿宋" w:hAnsi="仿宋" w:eastAsia="仿宋" w:cs="仿宋"/>
          <w:b/>
          <w:bCs/>
          <w:sz w:val="24"/>
          <w:szCs w:val="24"/>
          <w:lang w:val="en-US" w:eastAsia="zh-CN"/>
        </w:rPr>
      </w:pPr>
    </w:p>
    <w:p w14:paraId="15F79B5D">
      <w:pPr>
        <w:pStyle w:val="5"/>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E、服务体系的完善性（2分）</w:t>
      </w:r>
      <w:r>
        <w:rPr>
          <w:rFonts w:hint="eastAsia" w:ascii="仿宋" w:hAnsi="仿宋" w:eastAsia="仿宋" w:cs="仿宋"/>
          <w:sz w:val="24"/>
          <w:szCs w:val="24"/>
          <w:lang w:val="en-US" w:eastAsia="zh-CN"/>
        </w:rPr>
        <w:t>（评估方法：评估服务体系是否完善，是否有系统化的流程和方法。例如，是否有明确的服务流程、质量控制机制、风险管理措施等。评估服务体系是否有持续改进的机制。例如，是否有定期的评估和反馈机制，是否有改进计划和措施。）</w:t>
      </w:r>
    </w:p>
    <w:p w14:paraId="0B95CDA9">
      <w:pPr>
        <w:pStyle w:val="5"/>
        <w:ind w:firstLine="482" w:firstLineChars="200"/>
        <w:rPr>
          <w:rFonts w:hint="eastAsia" w:ascii="仿宋" w:hAnsi="仿宋" w:eastAsia="仿宋" w:cs="仿宋"/>
          <w:b/>
          <w:bCs/>
          <w:sz w:val="24"/>
          <w:szCs w:val="24"/>
          <w:lang w:val="en-US" w:eastAsia="zh-CN"/>
        </w:rPr>
      </w:pPr>
    </w:p>
    <w:p w14:paraId="5B77A156">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F、是否有服务质量保障措施（2分）</w:t>
      </w:r>
      <w:r>
        <w:rPr>
          <w:rFonts w:hint="eastAsia" w:ascii="仿宋" w:hAnsi="仿宋" w:eastAsia="仿宋" w:cs="仿宋"/>
          <w:sz w:val="24"/>
          <w:szCs w:val="24"/>
          <w:lang w:val="en-US" w:eastAsia="zh-CN"/>
        </w:rPr>
        <w:t>（评估方法：审查法律服务方案中是否有明确的服务质量标准和质量控制流程，包括案件处理流程、文件审核流程等。了解方案是否建立了有效的沟通机制，确保客户能够及时反馈服务质量和需求变化。评估法律服务方案是否对可能出现的法律风险进行了充分的识别和分析，并制定了相应的应对措施。检查方案是否具备灵活性和适应性，以便在面对复杂多变的法律环境时能够及时调整和优化。）</w:t>
      </w:r>
    </w:p>
    <w:p w14:paraId="1A091F46">
      <w:pPr>
        <w:pStyle w:val="5"/>
        <w:rPr>
          <w:rFonts w:hint="eastAsia" w:ascii="仿宋" w:hAnsi="仿宋" w:eastAsia="仿宋" w:cs="仿宋"/>
          <w:b/>
          <w:bCs/>
          <w:sz w:val="24"/>
          <w:szCs w:val="24"/>
          <w:lang w:val="en-US" w:eastAsia="zh-CN"/>
        </w:rPr>
      </w:pPr>
    </w:p>
    <w:p w14:paraId="58E599A4">
      <w:pPr>
        <w:keepNext w:val="0"/>
        <w:keepLines w:val="0"/>
        <w:pageBreakBefore w:val="0"/>
        <w:widowControl w:val="0"/>
        <w:kinsoku/>
        <w:wordWrap/>
        <w:overflowPunct/>
        <w:topLinePunct w:val="0"/>
        <w:autoSpaceDE/>
        <w:autoSpaceDN/>
        <w:bidi w:val="0"/>
        <w:adjustRightInd/>
        <w:snapToGrid/>
        <w:spacing w:after="157" w:afterLines="50"/>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1.2专项法律服务方案（共10分）</w:t>
      </w:r>
    </w:p>
    <w:p w14:paraId="70C9E038">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A、专项法律服务方案是否全面（2分）</w:t>
      </w:r>
      <w:r>
        <w:rPr>
          <w:rFonts w:hint="eastAsia" w:ascii="仿宋" w:hAnsi="仿宋" w:eastAsia="仿宋" w:cs="仿宋"/>
          <w:sz w:val="24"/>
          <w:szCs w:val="24"/>
          <w:lang w:val="en-US" w:eastAsia="zh-CN"/>
        </w:rPr>
        <w:t>（评估方法：1.看方案是否清晰地定义了服务的目标和预期成果。确保方案的目标与实际需求相符；2. 检查方案是否涵盖了所有相关的法律领域和问题。确保没有遗漏任何重要的法律问题或风险3. 看方案中是否引用了相关的法律法规、司法解释和案例。确保法律依据充分且准确；4.看方案是否包含对潜在法律风险的评估和应对措施。确保风险识别和管理到位；5.看方案是否提供了具体的操作步骤和实施计划。确保方案具有可操作性和可执行性6.检查方案是否包含合理的时间安排和进度计划。确保各项工作有明确的时间节点；7.看方案是否包含详细的费用预算和费用结构。确保费用透明且合理；8.看方案中是否介绍了负责该项目的法律顾问团队及其资历。确保团队具备相应的专业能力和经验；9.看方案是否包含与客户的沟通和汇报机制。确保信息传递和反馈渠道畅通；10.看方案是否包含质量控制措施和评估标准。确保服务质量符合预期。）</w:t>
      </w:r>
    </w:p>
    <w:p w14:paraId="02FE5673">
      <w:pPr>
        <w:ind w:firstLine="482" w:firstLineChars="200"/>
        <w:rPr>
          <w:rFonts w:hint="eastAsia" w:ascii="仿宋" w:hAnsi="仿宋" w:eastAsia="仿宋" w:cs="仿宋"/>
          <w:b/>
          <w:bCs/>
          <w:sz w:val="24"/>
          <w:szCs w:val="24"/>
          <w:lang w:val="en-US" w:eastAsia="zh-CN"/>
        </w:rPr>
      </w:pPr>
    </w:p>
    <w:p w14:paraId="56774F89">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B、服务方式针对性、专业性（2分）</w:t>
      </w:r>
      <w:r>
        <w:rPr>
          <w:rFonts w:hint="eastAsia" w:ascii="仿宋" w:hAnsi="仿宋" w:eastAsia="仿宋" w:cs="仿宋"/>
          <w:sz w:val="24"/>
          <w:szCs w:val="24"/>
          <w:lang w:val="en-US" w:eastAsia="zh-CN"/>
        </w:rPr>
        <w:t>（ 评估方法：针对性：1.检查方案是否详细分析了客户的具体需求和问题。一个好的方案应当明确客户的法律需求，并针对这些需求提出具体的解决方案；2.看方案是否明确了服务的目标和预期成果。目标应当具体、可衡量，并与客户的需求紧密相关；3.看方案是否提供了定制化的服务内容，而不是一刀切的标准服务。定制化服务能够更好地满足客户的特殊需求；4.看方案是否提供了详细的时间表，明确了各个阶段的工作内容和时间节点。时间安排应当合理且具有可操作性。专业性：1.看方案是否引用了相关的法律法规和司法解释。引用的法律依据应当准确、最新，并与客户的需求相关；2.看方案中是否介绍了服务团队的专业背景和经验。团队成员应当具备相关领域的专业知识和丰富的实践经验；3.看方案是否提供了类似案例的分析，展示了团队在类似项目中的成功经验和专业能力；4. 看方案是否进行了全面的风险评估，并提出了相应的风险控制措施。风险评估应当全面、客观，并提供具体的应对策略；5. 看方案是否提到了使用的法律技术工具或平台，这些工具是否能够提高服务的效率和准确性。）</w:t>
      </w:r>
    </w:p>
    <w:p w14:paraId="07121F6D">
      <w:pPr>
        <w:ind w:firstLine="480" w:firstLineChars="200"/>
        <w:rPr>
          <w:rFonts w:hint="eastAsia" w:ascii="仿宋" w:hAnsi="仿宋" w:eastAsia="仿宋" w:cs="仿宋"/>
          <w:sz w:val="24"/>
          <w:szCs w:val="24"/>
          <w:lang w:val="en-US" w:eastAsia="zh-CN"/>
        </w:rPr>
      </w:pPr>
    </w:p>
    <w:p w14:paraId="51BDD585">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C、服务方式便利性（2分）</w:t>
      </w:r>
    </w:p>
    <w:p w14:paraId="495B570C">
      <w:pPr>
        <w:pStyle w:val="5"/>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响应时间快：2分；一般：1分；慢：0分</w:t>
      </w:r>
    </w:p>
    <w:p w14:paraId="50541E08">
      <w:pPr>
        <w:pStyle w:val="5"/>
        <w:ind w:firstLine="482" w:firstLineChars="200"/>
        <w:rPr>
          <w:rFonts w:hint="eastAsia" w:ascii="仿宋" w:hAnsi="仿宋" w:eastAsia="仿宋" w:cs="仿宋"/>
          <w:b/>
          <w:bCs/>
          <w:sz w:val="24"/>
          <w:szCs w:val="24"/>
          <w:lang w:val="en-US" w:eastAsia="zh-CN"/>
        </w:rPr>
      </w:pPr>
    </w:p>
    <w:p w14:paraId="4A3D3F02">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D、专项法律服务费用收取优惠方案（2分）</w:t>
      </w:r>
    </w:p>
    <w:p w14:paraId="6E3887EC">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有：2分；无：0分</w:t>
      </w:r>
    </w:p>
    <w:p w14:paraId="4B6C412C">
      <w:pPr>
        <w:ind w:firstLine="482" w:firstLineChars="200"/>
        <w:rPr>
          <w:rFonts w:hint="eastAsia" w:ascii="仿宋" w:hAnsi="仿宋" w:eastAsia="仿宋" w:cs="仿宋"/>
          <w:b/>
          <w:bCs/>
          <w:sz w:val="24"/>
          <w:szCs w:val="24"/>
          <w:lang w:val="en-US" w:eastAsia="zh-CN"/>
        </w:rPr>
      </w:pPr>
    </w:p>
    <w:p w14:paraId="1B7686F0">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E、服务质量保障措施（2分）</w:t>
      </w:r>
    </w:p>
    <w:p w14:paraId="5D941EE1">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有：2分；无：0分</w:t>
      </w:r>
    </w:p>
    <w:p w14:paraId="01E5F6CA">
      <w:pPr>
        <w:ind w:firstLine="480" w:firstLineChars="200"/>
        <w:rPr>
          <w:rFonts w:hint="eastAsia" w:ascii="仿宋" w:hAnsi="仿宋" w:eastAsia="仿宋" w:cs="仿宋"/>
          <w:sz w:val="24"/>
          <w:szCs w:val="24"/>
          <w:lang w:val="en-US" w:eastAsia="zh-CN"/>
        </w:rPr>
      </w:pPr>
    </w:p>
    <w:p w14:paraId="093B972D">
      <w:pPr>
        <w:ind w:firstLine="482" w:firstLineChars="200"/>
        <w:rPr>
          <w:rFonts w:hint="eastAsia" w:ascii="黑体" w:hAnsi="黑体" w:eastAsia="黑体" w:cs="黑体"/>
          <w:sz w:val="24"/>
          <w:szCs w:val="24"/>
          <w:u w:val="single"/>
        </w:rPr>
      </w:pPr>
      <w:r>
        <w:rPr>
          <w:rFonts w:hint="eastAsia" w:ascii="黑体" w:hAnsi="黑体" w:eastAsia="黑体" w:cs="黑体"/>
          <w:b/>
          <w:bCs/>
          <w:sz w:val="24"/>
          <w:szCs w:val="24"/>
          <w:u w:val="single"/>
          <w:lang w:val="en-US" w:eastAsia="zh-CN"/>
        </w:rPr>
        <w:t>2.报价部分：2</w:t>
      </w:r>
      <w:r>
        <w:rPr>
          <w:rFonts w:hint="eastAsia" w:ascii="黑体" w:hAnsi="黑体" w:eastAsia="黑体" w:cs="黑体"/>
          <w:b/>
          <w:bCs/>
          <w:sz w:val="24"/>
          <w:szCs w:val="24"/>
          <w:u w:val="single"/>
        </w:rPr>
        <w:t>0分</w:t>
      </w:r>
    </w:p>
    <w:p w14:paraId="3E596D8F">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最终报价</w:t>
      </w:r>
      <w:r>
        <w:rPr>
          <w:rFonts w:hint="eastAsia" w:ascii="仿宋" w:hAnsi="仿宋" w:eastAsia="仿宋" w:cs="仿宋"/>
          <w:sz w:val="24"/>
          <w:szCs w:val="24"/>
        </w:rPr>
        <w:t>满足</w:t>
      </w:r>
      <w:r>
        <w:rPr>
          <w:rFonts w:hint="eastAsia" w:ascii="仿宋" w:hAnsi="仿宋" w:eastAsia="仿宋" w:cs="仿宋"/>
          <w:sz w:val="24"/>
          <w:szCs w:val="24"/>
          <w:lang w:val="en-US" w:eastAsia="zh-CN"/>
        </w:rPr>
        <w:t>本方案</w:t>
      </w:r>
      <w:r>
        <w:rPr>
          <w:rFonts w:hint="eastAsia" w:ascii="仿宋" w:hAnsi="仿宋" w:eastAsia="仿宋" w:cs="仿宋"/>
          <w:sz w:val="24"/>
          <w:szCs w:val="24"/>
        </w:rPr>
        <w:t>要求的供应商的</w:t>
      </w:r>
      <w:r>
        <w:rPr>
          <w:rFonts w:hint="eastAsia" w:ascii="仿宋" w:hAnsi="仿宋" w:eastAsia="仿宋" w:cs="仿宋"/>
          <w:sz w:val="24"/>
          <w:szCs w:val="24"/>
          <w:lang w:val="en-US" w:eastAsia="zh-CN"/>
        </w:rPr>
        <w:t>报价部分</w:t>
      </w:r>
      <w:r>
        <w:rPr>
          <w:rFonts w:hint="eastAsia" w:ascii="仿宋" w:hAnsi="仿宋" w:eastAsia="仿宋" w:cs="仿宋"/>
          <w:sz w:val="24"/>
          <w:szCs w:val="24"/>
        </w:rPr>
        <w:t>为</w:t>
      </w:r>
      <w:r>
        <w:rPr>
          <w:rFonts w:hint="eastAsia" w:ascii="仿宋" w:hAnsi="仿宋" w:eastAsia="仿宋" w:cs="仿宋"/>
          <w:sz w:val="24"/>
          <w:szCs w:val="24"/>
          <w:lang w:val="en-US" w:eastAsia="zh-CN"/>
        </w:rPr>
        <w:t>有效报价</w:t>
      </w:r>
      <w:r>
        <w:rPr>
          <w:rFonts w:hint="eastAsia" w:ascii="仿宋" w:hAnsi="仿宋" w:eastAsia="仿宋" w:cs="仿宋"/>
          <w:sz w:val="24"/>
          <w:szCs w:val="24"/>
        </w:rPr>
        <w:t>，若报价超过采购人预算，则该供应商报价按零分计算。</w:t>
      </w:r>
    </w:p>
    <w:p w14:paraId="53866787">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磋商工作组</w:t>
      </w:r>
      <w:r>
        <w:rPr>
          <w:rFonts w:hint="eastAsia" w:ascii="仿宋" w:hAnsi="仿宋" w:eastAsia="仿宋" w:cs="仿宋"/>
          <w:sz w:val="24"/>
          <w:szCs w:val="24"/>
        </w:rPr>
        <w:t>认为供应商的</w:t>
      </w:r>
      <w:r>
        <w:rPr>
          <w:rFonts w:hint="eastAsia" w:ascii="仿宋" w:hAnsi="仿宋" w:eastAsia="仿宋" w:cs="仿宋"/>
          <w:sz w:val="24"/>
          <w:szCs w:val="24"/>
          <w:lang w:eastAsia="zh-CN"/>
        </w:rPr>
        <w:t>有效</w:t>
      </w:r>
      <w:r>
        <w:rPr>
          <w:rFonts w:hint="eastAsia" w:ascii="仿宋" w:hAnsi="仿宋" w:eastAsia="仿宋" w:cs="仿宋"/>
          <w:sz w:val="24"/>
          <w:szCs w:val="24"/>
        </w:rPr>
        <w:t>报价明显低于其他供应商的平均</w:t>
      </w:r>
      <w:r>
        <w:rPr>
          <w:rFonts w:hint="eastAsia" w:ascii="仿宋" w:hAnsi="仿宋" w:eastAsia="仿宋" w:cs="仿宋"/>
          <w:sz w:val="24"/>
          <w:szCs w:val="24"/>
          <w:lang w:eastAsia="zh-CN"/>
        </w:rPr>
        <w:t>有效</w:t>
      </w:r>
      <w:r>
        <w:rPr>
          <w:rFonts w:hint="eastAsia" w:ascii="仿宋" w:hAnsi="仿宋" w:eastAsia="仿宋" w:cs="仿宋"/>
          <w:sz w:val="24"/>
          <w:szCs w:val="24"/>
        </w:rPr>
        <w:t>报价，有可能</w:t>
      </w:r>
      <w:r>
        <w:rPr>
          <w:rFonts w:hint="eastAsia" w:ascii="仿宋" w:hAnsi="仿宋" w:eastAsia="仿宋" w:cs="仿宋"/>
          <w:sz w:val="24"/>
          <w:szCs w:val="24"/>
          <w:lang w:val="en-US" w:eastAsia="zh-CN"/>
        </w:rPr>
        <w:t>导致</w:t>
      </w:r>
      <w:r>
        <w:rPr>
          <w:rFonts w:hint="eastAsia" w:ascii="仿宋" w:hAnsi="仿宋" w:eastAsia="仿宋" w:cs="仿宋"/>
          <w:sz w:val="24"/>
          <w:szCs w:val="24"/>
        </w:rPr>
        <w:t>不能诚信履约的，供应商须现场提供书面说明；供应商不能</w:t>
      </w:r>
      <w:r>
        <w:rPr>
          <w:rFonts w:hint="eastAsia" w:ascii="仿宋" w:hAnsi="仿宋" w:eastAsia="仿宋" w:cs="仿宋"/>
          <w:sz w:val="24"/>
          <w:szCs w:val="24"/>
          <w:lang w:val="en-US" w:eastAsia="zh-CN"/>
        </w:rPr>
        <w:t>说明</w:t>
      </w:r>
      <w:r>
        <w:rPr>
          <w:rFonts w:hint="eastAsia" w:ascii="仿宋" w:hAnsi="仿宋" w:eastAsia="仿宋" w:cs="仿宋"/>
          <w:sz w:val="24"/>
          <w:szCs w:val="24"/>
        </w:rPr>
        <w:t>其报价合理性的，</w:t>
      </w:r>
      <w:r>
        <w:rPr>
          <w:rFonts w:hint="eastAsia" w:ascii="仿宋" w:hAnsi="仿宋" w:eastAsia="仿宋" w:cs="仿宋"/>
          <w:sz w:val="24"/>
          <w:szCs w:val="24"/>
          <w:lang w:val="en-US" w:eastAsia="zh-CN"/>
        </w:rPr>
        <w:t>磋商工作组</w:t>
      </w:r>
      <w:r>
        <w:rPr>
          <w:rFonts w:hint="eastAsia" w:ascii="仿宋" w:hAnsi="仿宋" w:eastAsia="仿宋" w:cs="仿宋"/>
          <w:sz w:val="24"/>
          <w:szCs w:val="24"/>
        </w:rPr>
        <w:t>应当将其作为无效</w:t>
      </w:r>
      <w:r>
        <w:rPr>
          <w:rFonts w:hint="eastAsia" w:ascii="仿宋" w:hAnsi="仿宋" w:eastAsia="仿宋" w:cs="仿宋"/>
          <w:sz w:val="24"/>
          <w:szCs w:val="24"/>
          <w:lang w:val="en-US" w:eastAsia="zh-CN"/>
        </w:rPr>
        <w:t>报价</w:t>
      </w:r>
      <w:r>
        <w:rPr>
          <w:rFonts w:hint="eastAsia" w:ascii="仿宋" w:hAnsi="仿宋" w:eastAsia="仿宋" w:cs="仿宋"/>
          <w:sz w:val="24"/>
          <w:szCs w:val="24"/>
        </w:rPr>
        <w:t>处理。</w:t>
      </w:r>
    </w:p>
    <w:p w14:paraId="217B7A02">
      <w:pPr>
        <w:ind w:firstLine="480" w:firstLineChars="200"/>
        <w:rPr>
          <w:rFonts w:hint="eastAsia" w:ascii="仿宋" w:hAnsi="仿宋" w:eastAsia="仿宋" w:cs="仿宋"/>
          <w:sz w:val="24"/>
          <w:szCs w:val="24"/>
        </w:rPr>
      </w:pPr>
      <w:r>
        <w:rPr>
          <w:rFonts w:hint="eastAsia" w:ascii="仿宋" w:hAnsi="仿宋" w:eastAsia="仿宋" w:cs="仿宋"/>
          <w:sz w:val="24"/>
          <w:szCs w:val="24"/>
        </w:rPr>
        <w:t>其他供应商的价格分统一按照下列公式计算：</w:t>
      </w:r>
    </w:p>
    <w:p w14:paraId="65DE6EBD">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报价得分＝（</w:t>
      </w:r>
      <w:r>
        <w:rPr>
          <w:rFonts w:hint="eastAsia" w:ascii="仿宋" w:hAnsi="仿宋" w:eastAsia="仿宋" w:cs="仿宋"/>
          <w:b/>
          <w:bCs/>
          <w:sz w:val="24"/>
          <w:szCs w:val="24"/>
          <w:lang w:val="en-US" w:eastAsia="zh-CN"/>
        </w:rPr>
        <w:t>有效最低报价</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最终</w:t>
      </w:r>
      <w:r>
        <w:rPr>
          <w:rFonts w:hint="eastAsia" w:ascii="仿宋" w:hAnsi="仿宋" w:eastAsia="仿宋" w:cs="仿宋"/>
          <w:b/>
          <w:bCs/>
          <w:sz w:val="24"/>
          <w:szCs w:val="24"/>
        </w:rPr>
        <w:t>报价）×</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0。</w:t>
      </w:r>
    </w:p>
    <w:p w14:paraId="420989A1">
      <w:pPr>
        <w:ind w:firstLine="480" w:firstLineChars="200"/>
        <w:rPr>
          <w:rFonts w:hint="eastAsia" w:ascii="仿宋" w:hAnsi="仿宋" w:eastAsia="仿宋" w:cs="仿宋"/>
          <w:sz w:val="24"/>
          <w:szCs w:val="24"/>
        </w:rPr>
      </w:pPr>
    </w:p>
    <w:p w14:paraId="69B85C84">
      <w:pPr>
        <w:ind w:firstLine="480" w:firstLineChars="200"/>
        <w:rPr>
          <w:rFonts w:hint="eastAsia" w:ascii="仿宋" w:hAnsi="仿宋" w:eastAsia="仿宋" w:cs="仿宋"/>
          <w:sz w:val="24"/>
          <w:szCs w:val="24"/>
        </w:rPr>
      </w:pPr>
    </w:p>
    <w:p w14:paraId="76A51625">
      <w:pPr>
        <w:numPr>
          <w:ilvl w:val="0"/>
          <w:numId w:val="0"/>
        </w:numPr>
        <w:ind w:firstLine="482" w:firstLineChars="200"/>
        <w:rPr>
          <w:rFonts w:hint="eastAsia" w:ascii="黑体" w:hAnsi="黑体" w:eastAsia="黑体" w:cs="黑体"/>
          <w:b/>
          <w:bCs/>
          <w:sz w:val="24"/>
          <w:szCs w:val="24"/>
          <w:u w:val="single"/>
        </w:rPr>
      </w:pPr>
      <w:r>
        <w:rPr>
          <w:rFonts w:hint="eastAsia" w:ascii="黑体" w:hAnsi="黑体" w:eastAsia="黑体" w:cs="黑体"/>
          <w:b/>
          <w:bCs/>
          <w:kern w:val="2"/>
          <w:sz w:val="24"/>
          <w:szCs w:val="24"/>
          <w:u w:val="single"/>
          <w:lang w:val="en-US" w:eastAsia="zh-CN" w:bidi="ar-SA"/>
        </w:rPr>
        <w:t>3.</w:t>
      </w:r>
      <w:r>
        <w:rPr>
          <w:rFonts w:hint="eastAsia" w:ascii="黑体" w:hAnsi="黑体" w:eastAsia="黑体" w:cs="黑体"/>
          <w:b/>
          <w:bCs/>
          <w:sz w:val="24"/>
          <w:szCs w:val="24"/>
          <w:u w:val="single"/>
        </w:rPr>
        <w:t>专业评分</w:t>
      </w:r>
      <w:r>
        <w:rPr>
          <w:rFonts w:hint="eastAsia" w:ascii="黑体" w:hAnsi="黑体" w:eastAsia="黑体" w:cs="黑体"/>
          <w:b/>
          <w:bCs/>
          <w:sz w:val="24"/>
          <w:szCs w:val="24"/>
          <w:u w:val="single"/>
          <w:lang w:eastAsia="zh-CN"/>
        </w:rPr>
        <w:t>：</w:t>
      </w:r>
      <w:r>
        <w:rPr>
          <w:rFonts w:hint="eastAsia" w:ascii="黑体" w:hAnsi="黑体" w:eastAsia="黑体" w:cs="黑体"/>
          <w:b/>
          <w:bCs/>
          <w:sz w:val="24"/>
          <w:szCs w:val="24"/>
          <w:u w:val="single"/>
          <w:lang w:val="en-US" w:eastAsia="zh-CN"/>
        </w:rPr>
        <w:t>共50</w:t>
      </w:r>
      <w:r>
        <w:rPr>
          <w:rFonts w:hint="eastAsia" w:ascii="黑体" w:hAnsi="黑体" w:eastAsia="黑体" w:cs="黑体"/>
          <w:b/>
          <w:bCs/>
          <w:sz w:val="24"/>
          <w:szCs w:val="24"/>
          <w:u w:val="single"/>
        </w:rPr>
        <w:t>分</w:t>
      </w:r>
    </w:p>
    <w:p w14:paraId="33BDF3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3.1供应商</w:t>
      </w:r>
      <w:r>
        <w:rPr>
          <w:rFonts w:hint="eastAsia" w:ascii="仿宋" w:hAnsi="仿宋" w:eastAsia="仿宋" w:cs="仿宋"/>
          <w:b/>
          <w:bCs/>
          <w:sz w:val="24"/>
          <w:szCs w:val="24"/>
        </w:rPr>
        <w:t>的综合情况（</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分）</w:t>
      </w:r>
    </w:p>
    <w:p w14:paraId="721BF0B7">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rPr>
        <w:t>A、律师事务所成立</w:t>
      </w:r>
      <w:r>
        <w:rPr>
          <w:rFonts w:hint="eastAsia" w:ascii="仿宋" w:hAnsi="仿宋" w:eastAsia="仿宋" w:cs="仿宋"/>
          <w:b/>
          <w:bCs/>
          <w:sz w:val="24"/>
          <w:szCs w:val="24"/>
          <w:lang w:eastAsia="zh-CN"/>
        </w:rPr>
        <w:t>时间</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分）</w:t>
      </w:r>
      <w:r>
        <w:rPr>
          <w:rFonts w:hint="eastAsia" w:ascii="仿宋" w:hAnsi="仿宋" w:eastAsia="仿宋" w:cs="仿宋"/>
          <w:sz w:val="24"/>
          <w:szCs w:val="24"/>
          <w:lang w:eastAsia="zh-CN"/>
        </w:rPr>
        <w:t>（理由：首先，律师事务所的成立时间通常与其积累的经验和稳定性成正比。长时间的运营意味着该事务所在处理各种法律事务时，可能已经积累了大量的实践经验，能够更加熟练地处理复杂的法律问题。此外，长时间的运营也显示出其财务和业务上的稳定性，这对于需要长期合作的法律顾问来说是一个重要的考量因素；其次，成立时间较长的律师事务所往往更有可能在业界建立良好的声誉。长时间的运营使它们有更多的机会展示自己的专业能力和服务质量，从而赢得客户的信任和好评。这样的声誉对于寻求高质量法律服务的客户来说是一个重要的参考指标；再次，长时间的运营通常意味着律师事务所能够吸引和留住更多的优秀律师和支持人员，形成更强大的专业团队。这样的团队能够为客户提供更全面、更专业的法律服务。此外，长时间的运营也可能使事务所拥有更多的资源，如先进的信息系统、广泛的法律数据库等，以支持其法律实践；第四，在法律实践中，经常会遇到各种复杂和前所未有的问题。成立时间较长的律师事务所由于积累了更多的经验和案例，可能更擅长应对这些复杂问题，提出创新的解决方案；第五，长时间的运营使律师事务所有机会与各种类型的客户合作，从而更深入地理解客户的需求和期望。这种对客户需求的深入理解有助于律师事务所提供更加贴合客户实际需求的法律服务。综上，将律师事务所的成立时间作为评估选择法律顾问时的评分标准，是出于对其经验、稳定性、专业声誉、团队规模和资源以及应对复杂问题能力的综合考量。这些因素共同构成了律师事务所提供高质量法律服务的重要基础。）</w:t>
      </w:r>
    </w:p>
    <w:p w14:paraId="6975985B">
      <w:pPr>
        <w:numPr>
          <w:ilvl w:val="0"/>
          <w:numId w:val="0"/>
        </w:numPr>
        <w:ind w:firstLine="480" w:firstLineChars="200"/>
        <w:rPr>
          <w:rFonts w:hint="eastAsia" w:ascii="仿宋" w:hAnsi="仿宋" w:eastAsia="仿宋" w:cs="仿宋"/>
          <w:sz w:val="24"/>
          <w:szCs w:val="24"/>
        </w:rPr>
      </w:pPr>
    </w:p>
    <w:p w14:paraId="37D7116D">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rPr>
        <w:t>B、</w:t>
      </w:r>
      <w:r>
        <w:rPr>
          <w:rFonts w:hint="eastAsia" w:ascii="仿宋" w:hAnsi="仿宋" w:eastAsia="仿宋" w:cs="仿宋"/>
          <w:b/>
          <w:bCs/>
          <w:sz w:val="24"/>
          <w:szCs w:val="24"/>
          <w:lang w:eastAsia="zh-CN"/>
        </w:rPr>
        <w:t>执业</w:t>
      </w:r>
      <w:r>
        <w:rPr>
          <w:rFonts w:hint="eastAsia" w:ascii="仿宋" w:hAnsi="仿宋" w:eastAsia="仿宋" w:cs="仿宋"/>
          <w:b/>
          <w:bCs/>
          <w:sz w:val="24"/>
          <w:szCs w:val="24"/>
        </w:rPr>
        <w:t>律师人数（</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分）</w:t>
      </w:r>
      <w:r>
        <w:rPr>
          <w:rFonts w:hint="eastAsia" w:ascii="仿宋" w:hAnsi="仿宋" w:eastAsia="仿宋" w:cs="仿宋"/>
          <w:sz w:val="24"/>
          <w:szCs w:val="24"/>
          <w:lang w:eastAsia="zh-CN"/>
        </w:rPr>
        <w:t>（理由：首先，一个拥有大量执业律师的律师事务所通常具备更丰富的资源和能力，能够处理更复杂和多样化的法律问题；其次，大规模的律师事务所往往有更多的专业律师，能够提供更为细致和专业的法律服务。不同领域的专家可以协同工作，提供更全面的法律解决方案；再次，更多的律师意味着更多的经验和知识积累。律师事务所可以通过内部培训和知识共享，提升整体服务质量；第四，在紧急情况下，大型律师事务所能够迅速调动更多的人力资源，确保客户的法律需求得到及时满足；第五，通常，规模较大的律师事务所会有更高的声誉和可靠性，因为它们需要维持良好的市场形象和客户满意度。第六，大型律师事务所通常拥有更广泛的法律和商业网络，能够为客户提供更多的资源和机会。）</w:t>
      </w:r>
    </w:p>
    <w:p w14:paraId="16F0272A">
      <w:pPr>
        <w:numPr>
          <w:ilvl w:val="0"/>
          <w:numId w:val="0"/>
        </w:numPr>
        <w:ind w:firstLine="480" w:firstLineChars="200"/>
        <w:rPr>
          <w:rFonts w:hint="eastAsia" w:ascii="仿宋" w:hAnsi="仿宋" w:eastAsia="仿宋" w:cs="仿宋"/>
          <w:sz w:val="24"/>
          <w:szCs w:val="24"/>
        </w:rPr>
      </w:pPr>
    </w:p>
    <w:p w14:paraId="015BE7E9">
      <w:pPr>
        <w:numPr>
          <w:ilvl w:val="0"/>
          <w:numId w:val="0"/>
        </w:num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rPr>
        <w:t>C、</w:t>
      </w:r>
      <w:r>
        <w:rPr>
          <w:rFonts w:hint="eastAsia" w:ascii="仿宋" w:hAnsi="仿宋" w:eastAsia="仿宋" w:cs="仿宋"/>
          <w:b/>
          <w:bCs/>
          <w:sz w:val="24"/>
          <w:szCs w:val="24"/>
          <w:lang w:eastAsia="zh-CN"/>
        </w:rPr>
        <w:t>根据年度审计报告或会计报表反映的业绩，供应商</w:t>
      </w:r>
      <w:r>
        <w:rPr>
          <w:rFonts w:hint="eastAsia" w:ascii="仿宋" w:hAnsi="仿宋" w:eastAsia="仿宋" w:cs="仿宋"/>
          <w:b/>
          <w:bCs/>
          <w:sz w:val="24"/>
          <w:szCs w:val="24"/>
          <w:lang w:val="en-US" w:eastAsia="zh-CN"/>
        </w:rPr>
        <w:t>最近年度收入情况（4分）</w:t>
      </w:r>
      <w:r>
        <w:rPr>
          <w:rFonts w:hint="eastAsia" w:ascii="仿宋" w:hAnsi="仿宋" w:eastAsia="仿宋" w:cs="仿宋"/>
          <w:sz w:val="24"/>
          <w:szCs w:val="24"/>
          <w:lang w:val="en-US" w:eastAsia="zh-CN"/>
        </w:rPr>
        <w:t>（理由：1.专业能力体现：供应商的财务报告通常能够反映出其经济实力、运营效率和盈利能力。对于法律顾问来说，一个拥有良好业绩的供应商可能意味着其能够提供更为专业、高效的法律服务。这样的供应商往往有更多的资源投入到法律研究和案件处理中，从而为客户提供更优质的服务；2. 风险控制：业绩良好的供应商通常具备更强的风险管理和控制能力。在法律服务领域，风险控制是至关重要的。一个有着稳定业绩的供应商可能更能预见和应对潜在的法律风险，从而帮助客户避免不必要的损失；3.合作稳定性：供应商的业绩稳定性也反映了其经营的稳健性和可持续性。一个业绩波动的供应商可能面临更多的不确定性和风险，这可能会影响到与法律顾问的长期合作关系。而业绩稳定的供应商更有可能保持持续、稳定的合作关系，为客户提供长期、可靠的法律支持；4.信任与信心：优秀的业绩往往能够增强客户对供应商的信任和信心。在法律服务领域，信任是至关重要的。一个有着良好业绩的供应商更容易获得客户的认可和信任，从而建立起长期、稳定的合作关系。综上，将供应商的审计报告或会计报表反映的业绩作为招聘法律顾问时的评分依据，并根据业绩给予不同的分数，是一种合理且有效的做法。这有助于筛选出具备更强专业能力、更好风险控制能力、更稳定合作关系的优质供应商，从而为客户提供更优质、更可靠的法律服务。）</w:t>
      </w:r>
    </w:p>
    <w:p w14:paraId="0D8FFC1C">
      <w:pPr>
        <w:numPr>
          <w:ilvl w:val="0"/>
          <w:numId w:val="0"/>
        </w:numPr>
        <w:ind w:firstLine="480" w:firstLineChars="200"/>
        <w:rPr>
          <w:rFonts w:hint="eastAsia" w:ascii="仿宋" w:hAnsi="仿宋" w:eastAsia="仿宋" w:cs="仿宋"/>
          <w:sz w:val="24"/>
          <w:szCs w:val="24"/>
          <w:lang w:val="en-US" w:eastAsia="zh-CN"/>
        </w:rPr>
      </w:pPr>
    </w:p>
    <w:p w14:paraId="472AC6C7">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color w:val="auto"/>
          <w:kern w:val="2"/>
          <w:sz w:val="24"/>
          <w:szCs w:val="24"/>
          <w:lang w:val="en-US" w:eastAsia="zh-CN" w:bidi="ar-SA"/>
        </w:rPr>
        <w:t>D、供应商</w:t>
      </w:r>
      <w:r>
        <w:rPr>
          <w:rFonts w:hint="eastAsia" w:ascii="仿宋" w:hAnsi="仿宋" w:eastAsia="仿宋" w:cs="仿宋"/>
          <w:b/>
          <w:bCs/>
          <w:sz w:val="24"/>
          <w:szCs w:val="24"/>
        </w:rPr>
        <w:t>是否</w:t>
      </w:r>
      <w:r>
        <w:rPr>
          <w:rFonts w:hint="eastAsia" w:ascii="仿宋" w:hAnsi="仿宋" w:eastAsia="仿宋" w:cs="仿宋"/>
          <w:b/>
          <w:bCs/>
          <w:sz w:val="24"/>
          <w:szCs w:val="24"/>
          <w:lang w:val="en-US" w:eastAsia="zh-CN"/>
        </w:rPr>
        <w:t>设立党支部</w:t>
      </w:r>
      <w:r>
        <w:rPr>
          <w:rFonts w:hint="eastAsia" w:ascii="仿宋" w:hAnsi="仿宋" w:eastAsia="仿宋" w:cs="仿宋"/>
          <w:b/>
          <w:bCs/>
          <w:sz w:val="24"/>
          <w:szCs w:val="24"/>
        </w:rPr>
        <w:t>（2分）</w:t>
      </w:r>
      <w:r>
        <w:rPr>
          <w:rFonts w:hint="eastAsia" w:ascii="仿宋" w:hAnsi="仿宋" w:eastAsia="仿宋" w:cs="仿宋"/>
          <w:sz w:val="24"/>
          <w:szCs w:val="24"/>
          <w:lang w:eastAsia="zh-CN"/>
        </w:rPr>
        <w:t>（理由：设立党支部通常意味着该律所在政治上具有较高的觉悟和可靠性，遵守国家法律法规，这有助于确保法律顾问在政治立场和法律遵从上与公司保持一致；党支部作为党的基层组织，强调组织纪律和集体主义精神。因此，有党支部的供应商可能在团队协作、项目管理和服务质量上表现出更高的组织纪律性，这对于法律顾问这一需要高度专业性和责任感的职位尤为重要；设立党支部的供应商往往更注重履行社会责任，关注公共利益，这与法律顾问的职责相吻合。法律顾问不仅需要为客户提供专业的法律服务，还需要在法律框架内维护社会公平正义；对于国有企业或强调党建文化的企业来说，将是否设立党支部作为评分标准有助于筛选出更易于融入企业文化、理解企业价值观的法律顾问，从而加强企业与法律顾问之间的沟通与协作）</w:t>
      </w:r>
    </w:p>
    <w:p w14:paraId="46483097">
      <w:pPr>
        <w:numPr>
          <w:ilvl w:val="0"/>
          <w:numId w:val="0"/>
        </w:numPr>
        <w:ind w:firstLine="480" w:firstLineChars="200"/>
        <w:rPr>
          <w:rFonts w:hint="eastAsia" w:ascii="仿宋" w:hAnsi="仿宋" w:eastAsia="仿宋" w:cs="仿宋"/>
          <w:sz w:val="24"/>
          <w:szCs w:val="24"/>
        </w:rPr>
      </w:pPr>
    </w:p>
    <w:p w14:paraId="7DD6D1F8">
      <w:pPr>
        <w:numPr>
          <w:ilvl w:val="0"/>
          <w:numId w:val="0"/>
        </w:numPr>
        <w:ind w:firstLine="482"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E、供应商是否购买律师事务所或律师执业保险（3分）</w:t>
      </w:r>
      <w:r>
        <w:rPr>
          <w:rFonts w:hint="eastAsia" w:ascii="仿宋" w:hAnsi="仿宋" w:eastAsia="仿宋" w:cs="仿宋"/>
          <w:color w:val="auto"/>
          <w:kern w:val="2"/>
          <w:sz w:val="24"/>
          <w:szCs w:val="24"/>
          <w:lang w:val="en-US" w:eastAsia="zh-CN" w:bidi="ar-SA"/>
        </w:rPr>
        <w:t>（理由：首先，购买职业保险是律师事务所和律师专业责任意识的体现。这种保险旨在保护客户免受因律师或律师事务所的过失或疏忽而可能遭受的损失。当律师或律师事务所在为客户提供法律服务时犯下错误，这种保险可以提供经济赔偿，从而减轻客户的财务负担。因此，一个拥有职业保险的律师事务所或律师，更有可能在提供法律服务时保持高度的谨慎和专业性，从而为客户提供更可靠的服务。其次，职业保险也是衡量律师事务所或律师财务状况和风险承受能力的重要指标。能够购买职业保险的律师事务所或律师，通常具备一定的经济实力和稳健的经营策略。这样的供应商在面对突发风险或挑战时，更有可能保持稳定的运营，从而确保法律服务的连续性和可靠性。此外，对于客户而言，选择一家拥有职业保险的供应商意味着在遭遇潜在的法律风险时能够得到一定的保障。这种信任度的提升有助于建立长期稳定的合作关系，对于企业和个人客户而言都是非常重要的。）</w:t>
      </w:r>
    </w:p>
    <w:p w14:paraId="36F35D93">
      <w:pPr>
        <w:numPr>
          <w:ilvl w:val="0"/>
          <w:numId w:val="0"/>
        </w:numPr>
        <w:ind w:firstLine="480" w:firstLineChars="200"/>
        <w:rPr>
          <w:rFonts w:hint="eastAsia" w:ascii="仿宋" w:hAnsi="仿宋" w:eastAsia="仿宋" w:cs="仿宋"/>
          <w:sz w:val="24"/>
          <w:szCs w:val="24"/>
          <w:lang w:val="en-US" w:eastAsia="zh-CN"/>
        </w:rPr>
      </w:pPr>
    </w:p>
    <w:p w14:paraId="2ABB4C69">
      <w:pPr>
        <w:numPr>
          <w:ilvl w:val="0"/>
          <w:numId w:val="0"/>
        </w:num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F、供应商获得的荣誉情况（4分）</w:t>
      </w:r>
      <w:r>
        <w:rPr>
          <w:rFonts w:hint="eastAsia" w:ascii="仿宋" w:hAnsi="仿宋" w:eastAsia="仿宋" w:cs="仿宋"/>
          <w:sz w:val="24"/>
          <w:szCs w:val="24"/>
          <w:lang w:val="en-US" w:eastAsia="zh-CN"/>
        </w:rPr>
        <w:t>（理由：荣誉和表彰通常是对个人或组织在特定领域表现出色的认可。在法律领域，这些荣誉可能来自于行业协会、政府部门或其他权威机构，它们能够证明法律顾问具备较高的专业能力和良好的信誉。因此，将荣誉情况作为评分依据，有助于筛选出那些具备优秀法律素养和丰富实践经验的候选人；获得表彰的法律顾问往往在处理复杂、敏感的法律问题上有着丰富的经验。这些经验对于解决企业可能面临的法律问题至关重要。通过考察荣誉情况，可以更加直观地了解法律顾问过去的工作成果和业绩，从而预测其未来为企业提供服务的质量和效果。；聘请具备荣誉的法律顾问，可以降低企业在法律事务方面可能面临的风险。这些法律顾问通常更加熟悉法律法规和司法实践，能够为企业提供更加准确、全面的法律意见和解决方案。同时，他们的荣誉和成；聘请获得荣誉的法律顾问，不仅可以提升企业自身的法律风险防范能力，还能够借助法律顾问的知名度和影响力，提升企业的形象和品牌价值。这对于企业的长期发展具有积极的推动作用）</w:t>
      </w:r>
    </w:p>
    <w:p w14:paraId="3662995A">
      <w:pPr>
        <w:numPr>
          <w:ilvl w:val="0"/>
          <w:numId w:val="0"/>
        </w:numPr>
        <w:ind w:firstLine="480" w:firstLineChars="200"/>
        <w:rPr>
          <w:rFonts w:hint="eastAsia" w:ascii="仿宋" w:hAnsi="仿宋" w:eastAsia="仿宋" w:cs="仿宋"/>
          <w:sz w:val="24"/>
          <w:szCs w:val="24"/>
          <w:lang w:val="en-US" w:eastAsia="zh-CN"/>
        </w:rPr>
      </w:pPr>
    </w:p>
    <w:p w14:paraId="094F95AB">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G、供应商</w:t>
      </w:r>
      <w:r>
        <w:rPr>
          <w:rFonts w:hint="eastAsia" w:ascii="仿宋" w:hAnsi="仿宋" w:eastAsia="仿宋" w:cs="仿宋"/>
          <w:b/>
          <w:bCs/>
          <w:sz w:val="24"/>
          <w:szCs w:val="24"/>
        </w:rPr>
        <w:t>是否曾为本公司或集团下属企业提供过法律服务（</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分）</w:t>
      </w:r>
      <w:r>
        <w:rPr>
          <w:rFonts w:hint="eastAsia" w:ascii="仿宋" w:hAnsi="仿宋" w:eastAsia="仿宋" w:cs="仿宋"/>
          <w:sz w:val="24"/>
          <w:szCs w:val="24"/>
          <w:lang w:eastAsia="zh-CN"/>
        </w:rPr>
        <w:t>（理由：曾经为公司或集团下属企业提供过法律服务的供应商通常对公司的业务模式、行业特点和运营环境有更深入的了解。这种熟悉度可以使他们更快速地理解和处理法律问题，提供更具针对性的法律建议；已有合作经验的法律顾问已经通过了公司的信任考验，证明了他们的专业能力和服务质量。这种信任关系可以减少选择新供应商时的不确定性和风险；熟悉公司的法律顾问可以更高效地处理事务，因为他们不需要花费额外的时间和资源去了解公司的背景和需求。这可以降低法律服务的成本，提高工作效率；已有合作经验的法律顾问通常已经建立了良好的沟通渠道和协作机制，这有助于更顺畅地进行法律事务处理，减少沟通障碍和误解；公司可以基于过去的合作经验，对法律顾问的绩效进行评估。这些历史记录可以作为选择的参考依据，帮助公司做出更明智的决策。综上，将供应商是否曾为本公司或者集团下属企业提供过法律服务作为一项评分标准，可以帮助公司选择更适合的法律顾问，降低风险，提高效率和服务质量）</w:t>
      </w:r>
    </w:p>
    <w:p w14:paraId="07460F56">
      <w:pPr>
        <w:numPr>
          <w:ilvl w:val="0"/>
          <w:numId w:val="0"/>
        </w:numPr>
        <w:ind w:firstLine="480" w:firstLineChars="200"/>
        <w:rPr>
          <w:rFonts w:hint="eastAsia" w:ascii="仿宋" w:hAnsi="仿宋" w:eastAsia="仿宋" w:cs="仿宋"/>
          <w:sz w:val="24"/>
          <w:szCs w:val="24"/>
        </w:rPr>
      </w:pPr>
    </w:p>
    <w:p w14:paraId="52AA40AB">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H、供应商现有</w:t>
      </w:r>
      <w:r>
        <w:rPr>
          <w:rFonts w:hint="eastAsia" w:ascii="仿宋" w:hAnsi="仿宋" w:eastAsia="仿宋" w:cs="仿宋"/>
          <w:b/>
          <w:bCs/>
          <w:sz w:val="24"/>
          <w:szCs w:val="24"/>
          <w:lang w:eastAsia="zh-CN"/>
        </w:rPr>
        <w:t>合作的</w:t>
      </w:r>
      <w:r>
        <w:rPr>
          <w:rFonts w:hint="eastAsia" w:ascii="仿宋" w:hAnsi="仿宋" w:eastAsia="仿宋" w:cs="仿宋"/>
          <w:b/>
          <w:bCs/>
          <w:sz w:val="24"/>
          <w:szCs w:val="24"/>
          <w:lang w:val="en-US" w:eastAsia="zh-CN"/>
        </w:rPr>
        <w:t>常年法律顾问单位情况（4分）</w:t>
      </w:r>
      <w:r>
        <w:rPr>
          <w:rFonts w:hint="eastAsia" w:ascii="仿宋" w:hAnsi="仿宋" w:eastAsia="仿宋" w:cs="仿宋"/>
          <w:sz w:val="24"/>
          <w:szCs w:val="24"/>
          <w:lang w:val="en-US" w:eastAsia="zh-CN"/>
        </w:rPr>
        <w:t>（理由：拥有多个现有顾问单位的供应商通常意味着他们在处理各种法律事务方面有丰富的经验。经验丰富的法律顾问能够更好地应对复杂的法律问题，提供更高质量的法律服务；如果一个法律顾问单位有多个长期合作的客户，这通常表明他们在行业内有良好的信誉和信任度。其他企业选择与他们长期合作，说明他们的服务质量和专业能力得到了广泛认可；拥有多个顾问单位的法律顾问通常会有更广泛的资源和网络。这些资源和网络可以在需要时提供额外的支持和帮助，解决复杂的法律问题；长期合作关系通常表明法律顾问的服务稳定可靠。对于企业来说，选择一个稳定可靠的法律顾问可以减少更换顾问带来的不便和风险；如果法律顾问单位服务于多个行业的客户，他们可能会积累跨行业的法律知识和经验。这种多样化的经验可以帮助他们更全面地理解和解决客户的法律问题；多个顾问单位的存在可能表明该法律顾问单位有能力同时处理多个客户的需求，显示出其综合能力和团队协作能力。综上所述，将供应商现有合作的常年法律顾问的情况作为打分标准，可以帮助企业选择经验丰富、信誉良好、资源丰富、稳定可靠的法律顾问，从而更好地保障企业的法律权益）</w:t>
      </w:r>
    </w:p>
    <w:p w14:paraId="145D7121">
      <w:pPr>
        <w:numPr>
          <w:ilvl w:val="0"/>
          <w:numId w:val="0"/>
        </w:numPr>
        <w:ind w:firstLine="480" w:firstLineChars="200"/>
        <w:rPr>
          <w:rFonts w:hint="eastAsia" w:ascii="仿宋" w:hAnsi="仿宋" w:eastAsia="仿宋" w:cs="仿宋"/>
          <w:sz w:val="24"/>
          <w:szCs w:val="24"/>
          <w:lang w:val="en-US" w:eastAsia="zh-CN"/>
        </w:rPr>
      </w:pPr>
    </w:p>
    <w:p w14:paraId="3F5B5D48">
      <w:pPr>
        <w:numPr>
          <w:ilvl w:val="0"/>
          <w:numId w:val="0"/>
        </w:num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I、供应商现有常年法律顾问单位在性质或行业上与本企业情况相似的数量（4分）</w:t>
      </w:r>
      <w:r>
        <w:rPr>
          <w:rFonts w:hint="eastAsia" w:ascii="仿宋" w:hAnsi="仿宋" w:eastAsia="仿宋" w:cs="仿宋"/>
          <w:sz w:val="24"/>
          <w:szCs w:val="24"/>
          <w:lang w:val="en-US" w:eastAsia="zh-CN"/>
        </w:rPr>
        <w:t>（理由：1. 专业性匹配：相似的行业或企业性质意味着法律顾问在处理相关问题时，能够凭借过往经验和专业知识，更准确地把握行业特点和法律要求，从而为本企业提供更加专业、高效的法律服务。2. 沟通效率：由于行业背景和企业性质的相似性，法律顾问能够更快地理解本企业的需求和痛点，减少沟通成本和时间，提高解决问题的效率。3. 风险控制：法律顾问对相似行业的深入了解，有助于他们更好地预测和识别本企业可能面临的法律风险，提前制定相应的防范措施，降低法律风险的发生概率。）</w:t>
      </w:r>
    </w:p>
    <w:p w14:paraId="28F0B0F3">
      <w:pPr>
        <w:numPr>
          <w:ilvl w:val="0"/>
          <w:numId w:val="0"/>
        </w:numPr>
        <w:ind w:firstLine="480" w:firstLineChars="200"/>
        <w:rPr>
          <w:rFonts w:hint="eastAsia" w:ascii="仿宋" w:hAnsi="仿宋" w:eastAsia="仿宋" w:cs="仿宋"/>
          <w:sz w:val="24"/>
          <w:szCs w:val="24"/>
        </w:rPr>
      </w:pPr>
    </w:p>
    <w:p w14:paraId="59011E08">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3.2供应商拟</w:t>
      </w:r>
      <w:r>
        <w:rPr>
          <w:rFonts w:hint="eastAsia" w:ascii="仿宋" w:hAnsi="仿宋" w:eastAsia="仿宋" w:cs="仿宋"/>
          <w:b/>
          <w:bCs/>
          <w:sz w:val="24"/>
          <w:szCs w:val="24"/>
        </w:rPr>
        <w:t>指派参与本项目律师情况（共</w:t>
      </w: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分）</w:t>
      </w:r>
    </w:p>
    <w:p w14:paraId="29B5424E">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rPr>
        <w:t>A、</w:t>
      </w:r>
      <w:r>
        <w:rPr>
          <w:rFonts w:hint="eastAsia" w:ascii="仿宋" w:hAnsi="仿宋" w:eastAsia="仿宋" w:cs="仿宋"/>
          <w:b/>
          <w:bCs/>
          <w:sz w:val="24"/>
          <w:szCs w:val="24"/>
          <w:lang w:eastAsia="zh-CN"/>
        </w:rPr>
        <w:t>拟指派提供法律服务律师人数（</w:t>
      </w:r>
      <w:r>
        <w:rPr>
          <w:rFonts w:hint="eastAsia" w:ascii="仿宋" w:hAnsi="仿宋" w:eastAsia="仿宋" w:cs="仿宋"/>
          <w:b/>
          <w:bCs/>
          <w:sz w:val="24"/>
          <w:szCs w:val="24"/>
          <w:lang w:val="en-US" w:eastAsia="zh-CN"/>
        </w:rPr>
        <w:t>3分</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理由：首先，一个人数较多的律师团队通常意味着更多的资源和人力可以投入到客户的案件或项目中。这可以确保更全面和细致的法律服务；其次，一个团队中可能包含不同领域的专家，这样可以确保在不同法律问题上都有专业人士提供意见；再次，更多的律师可以分担工作量，从而提高工作效率，确保法律事务能够及时处理；第四，一个人数较多的团队可以更好地进行内部审核和风险管理，减少错误和疏漏的可能性；第五，如果某个律师因故不能继续工作，一个团队可以更容易地进行人员替换，确保服务的连续性；第六，不同的律师可能有不同的背景和经验，这可以带来多样化的视角和解决方案，有助于更全面地分析和解决法律问题。）</w:t>
      </w:r>
    </w:p>
    <w:p w14:paraId="4D017363">
      <w:pPr>
        <w:numPr>
          <w:ilvl w:val="0"/>
          <w:numId w:val="0"/>
        </w:numPr>
        <w:ind w:firstLine="482" w:firstLineChars="200"/>
        <w:rPr>
          <w:rFonts w:hint="default" w:ascii="仿宋" w:hAnsi="仿宋" w:eastAsia="仿宋" w:cs="仿宋"/>
          <w:b/>
          <w:bCs/>
          <w:sz w:val="24"/>
          <w:szCs w:val="24"/>
          <w:lang w:val="en-US" w:eastAsia="zh-CN"/>
        </w:rPr>
      </w:pPr>
    </w:p>
    <w:p w14:paraId="28B3B2A1">
      <w:pPr>
        <w:numPr>
          <w:ilvl w:val="0"/>
          <w:numId w:val="0"/>
        </w:num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B、律师团队中有担任过法官、检察官、仲裁员、公证员的情况（2分）</w:t>
      </w:r>
      <w:r>
        <w:rPr>
          <w:rFonts w:hint="eastAsia" w:ascii="仿宋" w:hAnsi="仿宋" w:eastAsia="仿宋" w:cs="仿宋"/>
          <w:sz w:val="24"/>
          <w:szCs w:val="24"/>
          <w:lang w:val="en-US" w:eastAsia="zh-CN"/>
        </w:rPr>
        <w:t>（理由：首先，这类律师具备丰富的法律实践经验和深厚的法律素养。他们在过去的职业生涯中处理了大量的法律案件，积累了宝贵的经验。这种经验能够帮助他们更好地理解法律问题，为企业提供更为专业、有效的法律服务。其次，这类律师意味着他们曾经接受过严格的法律教育和培训，并且通过了相应的资格考试。这种教育和培训使得他们具备扎实的法律知识和卓越的法律分析能力，能够更好地为企业解读和运用法律；此外，这类律师在处理法律问题时，通常能够保持客观、公正的态度。他们习惯于从法律的角度去分析问题，而不是仅仅从企业的利益出发。这种客观性能够帮助企业在处理法律问题时保持清醒的头脑，避免因为盲目追求利益而陷入法律风险；最后，此类顾问律师，还能够为企业带来更为广泛的人脉和资源。他们在法律界有着广泛的人脉关系，能够为企业提供更多的合作机会和资源支持。综上所述，将律师事务所所指派的顾问律师中是否有担任过法官、检察官、公证员、仲裁员等公职人员的情况作为评分的项目，是为了确保法律顾问具备丰富的法律实践经验、深厚的法律素养、客观公正的态度以及广泛的人脉和资源，从而为企业提供更为专业、有效的法律服务。）</w:t>
      </w:r>
    </w:p>
    <w:p w14:paraId="205ECABA">
      <w:pPr>
        <w:numPr>
          <w:ilvl w:val="0"/>
          <w:numId w:val="0"/>
        </w:numPr>
        <w:ind w:firstLine="482" w:firstLineChars="200"/>
        <w:rPr>
          <w:rFonts w:hint="eastAsia" w:ascii="仿宋" w:hAnsi="仿宋" w:eastAsia="仿宋" w:cs="仿宋"/>
          <w:b/>
          <w:bCs/>
          <w:sz w:val="24"/>
          <w:szCs w:val="24"/>
          <w:lang w:val="en-US" w:eastAsia="zh-CN"/>
        </w:rPr>
      </w:pPr>
    </w:p>
    <w:p w14:paraId="67724F83">
      <w:pPr>
        <w:numPr>
          <w:ilvl w:val="0"/>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C、律师团队执业年限满5年的律师情况</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分)</w:t>
      </w:r>
    </w:p>
    <w:p w14:paraId="555FF531">
      <w:pPr>
        <w:numPr>
          <w:ilvl w:val="0"/>
          <w:numId w:val="0"/>
        </w:numPr>
        <w:ind w:firstLine="482" w:firstLineChars="200"/>
        <w:rPr>
          <w:rFonts w:hint="eastAsia" w:ascii="仿宋" w:hAnsi="仿宋" w:eastAsia="仿宋" w:cs="仿宋"/>
          <w:b/>
          <w:bCs/>
          <w:sz w:val="24"/>
          <w:szCs w:val="24"/>
          <w:lang w:val="en-US" w:eastAsia="zh-CN"/>
        </w:rPr>
      </w:pPr>
    </w:p>
    <w:p w14:paraId="0542B6C1">
      <w:pPr>
        <w:numPr>
          <w:ilvl w:val="0"/>
          <w:numId w:val="0"/>
        </w:num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D、指派律师获得的荣誉情况（5分）</w:t>
      </w:r>
      <w:r>
        <w:rPr>
          <w:rFonts w:hint="eastAsia" w:ascii="仿宋" w:hAnsi="仿宋" w:eastAsia="仿宋" w:cs="仿宋"/>
          <w:sz w:val="24"/>
          <w:szCs w:val="24"/>
          <w:lang w:val="en-US" w:eastAsia="zh-CN"/>
        </w:rPr>
        <w:t>（理由：首先，律师的荣誉情况是衡量其专业能力和行业认可度的重要指标。荣誉往往代表着律师在某一领域或案件中取得了卓越的成就，得到了同行或权威机构的认可。这样的荣誉可以证明律师具备扎实的专业知识、丰富的实践经验和出色的解决问题的能力，从而为客户提供高质量的法律服务。其次，律师的荣誉情况也反映了其职业道德和职业操守。获得荣誉的律师通常具备高度的责任心和敬业精神，能够为客户的利益尽职尽责，保持诚信和正直。这样的律师更有可能在处理案件时坚守法律原则，维护客户的合法权益。最后，选择具备良好声誉和专业技能的律师，更能确保自己的权益得到充分保障。综上所述，将指派律师获得的荣誉情况纳入评分标准，有助于全面评估律师的专业能力、职业道德和行业认可度，从而提高选择法律顾问的准确性和有效性。）</w:t>
      </w:r>
    </w:p>
    <w:p w14:paraId="1E2156AA">
      <w:pPr>
        <w:numPr>
          <w:ilvl w:val="0"/>
          <w:numId w:val="0"/>
        </w:numPr>
        <w:ind w:firstLine="482" w:firstLineChars="200"/>
        <w:rPr>
          <w:rFonts w:hint="eastAsia" w:ascii="仿宋" w:hAnsi="仿宋" w:eastAsia="仿宋" w:cs="仿宋"/>
          <w:b/>
          <w:bCs/>
          <w:sz w:val="24"/>
          <w:szCs w:val="24"/>
          <w:lang w:val="en-US" w:eastAsia="zh-CN"/>
        </w:rPr>
      </w:pPr>
    </w:p>
    <w:p w14:paraId="1C35EE6D">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E、律师团队首席（主要）律师</w:t>
      </w:r>
      <w:r>
        <w:rPr>
          <w:rFonts w:hint="eastAsia" w:ascii="仿宋" w:hAnsi="仿宋" w:eastAsia="仿宋" w:cs="仿宋"/>
          <w:b/>
          <w:bCs/>
          <w:sz w:val="24"/>
          <w:szCs w:val="24"/>
        </w:rPr>
        <w:t>执业年限</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2分</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理由：首先，执业年限长的首席律师往往积累了更多的法律实践经验和深厚的专业知识。他们可能处理过多种复杂的法律案件，对于不同领域的法律问题有深入的理解和独到的见解。这种丰富的经验有助于他们更加准确地分析法律问题，提出切实可行的解决方案；其次，长时间从事法律工作的首席律师在面对各种复杂和突发情况时，能够迅速作出反应，提出有效的应对策略。他们通常能够更好地预测案件的可能走向，并据此作出合理的决策；再次，随着执业年限的增长，首席律师通常能够建立起广泛的人脉关系和丰富的资源网络。这些资源包括与其他律师、法官、行业专家等的良好关系，以及在处理法律问题时可调用的各种专业资源。这些人脉和资源对于解决复杂的法律问题或推动案件的进展具有重要的作用；首席律师的执业年限也是衡量其稳定性和可靠性的一个指标。长期从事法律工作的律师更有可能保持对职业的热爱和专注，对待工作也更加认真负责。此外，他们的经验和能力也更容易得到客户和同行的认可，从而增加了合作的稳定性和可靠性。因此，将首席律师的职业年限作为选择和评估法律顾问的一个评分标准，有助于筛选出经验丰富、专业知识深厚、能够应对复杂情况的优秀律师团队，从而提高法律顾问服务的质量和效果。同时，这也体现了对律师团队整体实力和专业水平的重视。）</w:t>
      </w:r>
    </w:p>
    <w:p w14:paraId="7C75EEDC">
      <w:pPr>
        <w:numPr>
          <w:ilvl w:val="0"/>
          <w:numId w:val="0"/>
        </w:numPr>
        <w:ind w:firstLine="480" w:firstLineChars="200"/>
        <w:rPr>
          <w:rFonts w:hint="eastAsia" w:ascii="仿宋" w:hAnsi="仿宋" w:eastAsia="仿宋" w:cs="仿宋"/>
          <w:sz w:val="24"/>
          <w:szCs w:val="24"/>
        </w:rPr>
      </w:pPr>
    </w:p>
    <w:p w14:paraId="421AA35D">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rPr>
        <w:t>F、主要律师是否法律、经济/企业管理等复合型专业人才、知识结构是否全面(1分)</w:t>
      </w:r>
      <w:r>
        <w:rPr>
          <w:rFonts w:hint="eastAsia" w:ascii="仿宋" w:hAnsi="仿宋" w:eastAsia="仿宋" w:cs="仿宋"/>
          <w:sz w:val="24"/>
          <w:szCs w:val="24"/>
          <w:lang w:eastAsia="zh-CN"/>
        </w:rPr>
        <w:t>（理由：首先，复合型专业人才具备多领域的知识，能够从多个角度分析和解决问题。例如，法律问题往往涉及经济和管理方面的考量，具备这些知识的律师能够提供更全面的解决方案；其次，企业在运营过程中不仅需要法律支持，还需要经济和管理方面的战略性建议。复合型律师能够帮助企业制定更全面的战略，提升企业的竞争力；第三，法律、经济和管理知识的结合使得律师能够更好地识别和管理企业面临的各种风险，从而提供更有效的风险防控措施；第四，复合型律师能够更好地与企业内部的各个部门沟通和协调，理解各部门的需求和挑战，从而提供更贴合实际的法律服务。）</w:t>
      </w:r>
    </w:p>
    <w:p w14:paraId="1F613B91">
      <w:pPr>
        <w:numPr>
          <w:ilvl w:val="0"/>
          <w:numId w:val="0"/>
        </w:numPr>
        <w:ind w:firstLine="480" w:firstLineChars="200"/>
        <w:rPr>
          <w:rFonts w:hint="eastAsia" w:ascii="仿宋" w:hAnsi="仿宋" w:eastAsia="仿宋" w:cs="仿宋"/>
          <w:sz w:val="24"/>
          <w:szCs w:val="24"/>
        </w:rPr>
      </w:pPr>
    </w:p>
    <w:p w14:paraId="42A3F0AC">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3.3磋商承诺及现场表现（4分）</w:t>
      </w:r>
    </w:p>
    <w:p w14:paraId="5D503630">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A</w:t>
      </w:r>
      <w:r>
        <w:rPr>
          <w:rFonts w:hint="eastAsia" w:ascii="仿宋" w:hAnsi="仿宋" w:eastAsia="仿宋" w:cs="仿宋"/>
          <w:b/>
          <w:bCs/>
          <w:sz w:val="24"/>
          <w:szCs w:val="24"/>
        </w:rPr>
        <w:t>、形象/沟通能力/口头表达能力(</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分)</w:t>
      </w:r>
      <w:r>
        <w:rPr>
          <w:rFonts w:hint="eastAsia" w:ascii="仿宋" w:hAnsi="仿宋" w:eastAsia="仿宋" w:cs="仿宋"/>
          <w:sz w:val="24"/>
          <w:szCs w:val="24"/>
          <w:lang w:eastAsia="zh-CN"/>
        </w:rPr>
        <w:t>（首先，形象能够反映出律师的专业素养和个人品质。一个整洁、得体的形象能够传递出律师对工作的认真态度和对客户的尊重，从而增强客户对律师的信任感；其次，沟通能力是律师执业过程中不可或缺的一项技能。优秀的律师需要能够清晰地表达法律观点，有效地与客户和对方当事人进行沟通。通过现场观察律师的沟通能力，可以评估其是否能够准确理解客户需求，并能够将复杂的法律问题以通俗易懂的方式解释给客户；最后，口头表达能力是律师在法庭辩论、协商谈判等场合中展现自己专业素养的重要方式。一个具有良好口头表达能力的律师能够更好地阐述自己的观点，增强说服力，从而为客户争取更多的权益。因此，将律师的现场表现，包括形象、沟通能力和口头表达能力，作为评估选择法律顾问的评分标准，可以更加全面地了解律师的专业素养和实际能力，确保选到最合适的法律顾问。同时，这也能够促使律师不断提升自己的专业素养和综合能力，以更好地满足客户的需求。）</w:t>
      </w:r>
    </w:p>
    <w:p w14:paraId="1F779A66">
      <w:pPr>
        <w:numPr>
          <w:ilvl w:val="0"/>
          <w:numId w:val="0"/>
        </w:numPr>
        <w:ind w:firstLine="482" w:firstLineChars="200"/>
        <w:rPr>
          <w:rFonts w:hint="eastAsia" w:ascii="仿宋" w:hAnsi="仿宋" w:eastAsia="仿宋" w:cs="仿宋"/>
          <w:b/>
          <w:bCs/>
          <w:sz w:val="24"/>
          <w:szCs w:val="24"/>
        </w:rPr>
      </w:pPr>
    </w:p>
    <w:p w14:paraId="308BACD1">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B</w:t>
      </w:r>
      <w:r>
        <w:rPr>
          <w:rFonts w:hint="eastAsia" w:ascii="仿宋" w:hAnsi="仿宋" w:eastAsia="仿宋" w:cs="仿宋"/>
          <w:b/>
          <w:bCs/>
          <w:sz w:val="24"/>
          <w:szCs w:val="24"/>
        </w:rPr>
        <w:t>、</w:t>
      </w:r>
      <w:r>
        <w:rPr>
          <w:rFonts w:hint="eastAsia" w:ascii="仿宋" w:hAnsi="仿宋" w:eastAsia="仿宋" w:cs="仿宋"/>
          <w:b/>
          <w:bCs/>
          <w:sz w:val="24"/>
          <w:szCs w:val="24"/>
          <w:lang w:eastAsia="zh-CN"/>
        </w:rPr>
        <w:t>提供资料是否符合磋商要求</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分)</w:t>
      </w:r>
      <w:r>
        <w:rPr>
          <w:rFonts w:hint="eastAsia" w:ascii="仿宋" w:hAnsi="仿宋" w:eastAsia="仿宋" w:cs="仿宋"/>
          <w:sz w:val="24"/>
          <w:szCs w:val="24"/>
          <w:lang w:eastAsia="zh-CN"/>
        </w:rPr>
        <w:t>（理由：首先，符合要求的资料是专业性和严谨性的体现。律师事务所作为提供专业法律服务的机构，其提交的资料应当遵循一定的格式和标准，展现出高度的专业性和严谨性。这不仅能够确保信息的准确性和完整性，还能够反映出律师团队对于工作的认真态度和对于细节的关注程度；其次，符合要求的资料有助于评估律师事务所的实力和经验。通过仔细审查律师事务所提供的资料，可以了解其历史沿革、专业领域、成功案例以及团队构成等信息。这些信息对于评估律师事务所的整体实力、专业经验以及是否能够胜任特定的法律任务至关重要；此外，符合要求的资料也体现了律师事务所对于合作关系的重视程度。一个愿意按照要求认真准备资料的律师事务所，通常也会更重视与潜在客户的合作关系，愿意投入更多的时间和精力来了解和满足客户的需求。这种态度对于建立长期稳定的合作关系非常有利；最后，将资料是否符合要求作为评分标准，有助于提高选择法律顾问的效率和准确性。通过设定明确的评分标准，可以更加客观地评估各个律师事务所的优势和劣势，从而快速筛选出符合需求的候选对象。这不仅可以节省时间和精力，还能够降低选择风险，确保最终选定的法律顾问能够满足企业的实际需求。综上，将律师事务所所提供的资料是否符合要求作为评分标准，是评估选择法律顾问过程中的一项重要举措。这有助于确保选定的法律顾问具备高度的专业性和严谨性，能够为企业提供优质、高效的法律服务。）</w:t>
      </w:r>
    </w:p>
    <w:p w14:paraId="03602C28">
      <w:pPr>
        <w:rPr>
          <w:rFonts w:hint="eastAsia" w:ascii="仿宋" w:hAnsi="仿宋" w:eastAsia="仿宋" w:cs="仿宋"/>
          <w:b/>
          <w:bCs/>
          <w:sz w:val="24"/>
          <w:szCs w:val="24"/>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Tg3ZTBiMGI5MGVkYzQ0YWUyZWM4ZWRlZTFiMWIifQ=="/>
  </w:docVars>
  <w:rsids>
    <w:rsidRoot w:val="5FAB3D73"/>
    <w:rsid w:val="06523A66"/>
    <w:rsid w:val="19FB6F0E"/>
    <w:rsid w:val="2D411B9C"/>
    <w:rsid w:val="2E9F48D0"/>
    <w:rsid w:val="3DDA0420"/>
    <w:rsid w:val="408178BE"/>
    <w:rsid w:val="45034D45"/>
    <w:rsid w:val="4E1753BE"/>
    <w:rsid w:val="50EB578E"/>
    <w:rsid w:val="5219254C"/>
    <w:rsid w:val="5D566BD5"/>
    <w:rsid w:val="5F971FC3"/>
    <w:rsid w:val="5FAB3D73"/>
    <w:rsid w:val="609B2827"/>
    <w:rsid w:val="67F0485E"/>
    <w:rsid w:val="69DB2639"/>
    <w:rsid w:val="6BCB0452"/>
    <w:rsid w:val="713B7C54"/>
    <w:rsid w:val="73AC344F"/>
    <w:rsid w:val="740F0761"/>
    <w:rsid w:val="774677D5"/>
    <w:rsid w:val="7A7F1A71"/>
    <w:rsid w:val="7DB0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basedOn w:val="1"/>
    <w:autoRedefine/>
    <w:qFormat/>
    <w:uiPriority w:val="0"/>
    <w:pPr>
      <w:widowControl w:val="0"/>
      <w:autoSpaceDE w:val="0"/>
      <w:autoSpaceDN w:val="0"/>
      <w:adjustRightInd w:val="0"/>
      <w:jc w:val="left"/>
    </w:pPr>
    <w:rPr>
      <w:rFonts w:ascii="Calibri" w:hAnsi="Calibri" w:cs="Times New Roman"/>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14200</Words>
  <Characters>14397</Characters>
  <Lines>0</Lines>
  <Paragraphs>0</Paragraphs>
  <TotalTime>23</TotalTime>
  <ScaleCrop>false</ScaleCrop>
  <LinksUpToDate>false</LinksUpToDate>
  <CharactersWithSpaces>14442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2024-06-05T08:04:00Z</dcterms:created>
  <dc:creator>彭璟</dc:creator>
  <cp:lastModifiedBy>彭璟</cp:lastModifiedBy>
  <dcterms:modified xsi:type="dcterms:W3CDTF">2024-06-06T09:38:26Z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8D574697181849EBB43F4204E2091199_11</vt:lpwstr>
  </property>
</Properties>
</file>